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C686B" w14:textId="752A9C84" w:rsidR="007916B3" w:rsidRPr="005A785C" w:rsidRDefault="00B67DE2" w:rsidP="00B67DE2">
      <w:pPr>
        <w:spacing w:line="240" w:lineRule="auto"/>
        <w:ind w:firstLine="0"/>
        <w:rPr>
          <w:b/>
          <w:bCs/>
        </w:rPr>
      </w:pPr>
      <w:r w:rsidRPr="005A785C">
        <w:rPr>
          <w:b/>
          <w:bCs/>
        </w:rPr>
        <w:t xml:space="preserve">This version represents the final unedited version accepted at </w:t>
      </w:r>
      <w:r w:rsidRPr="005A785C">
        <w:rPr>
          <w:b/>
          <w:bCs/>
          <w:i/>
          <w:iCs/>
        </w:rPr>
        <w:t>Nature Human Behaviour.</w:t>
      </w:r>
    </w:p>
    <w:p w14:paraId="5ADA18DA" w14:textId="77777777" w:rsidR="00B67DE2" w:rsidRDefault="00B67DE2" w:rsidP="00B67DE2">
      <w:pPr>
        <w:pStyle w:val="Title"/>
        <w:spacing w:line="240" w:lineRule="auto"/>
      </w:pPr>
    </w:p>
    <w:p w14:paraId="69537071" w14:textId="77777777" w:rsidR="004B74D0" w:rsidRDefault="004B74D0" w:rsidP="004B74D0"/>
    <w:p w14:paraId="3EDA9DDE" w14:textId="77777777" w:rsidR="004B74D0" w:rsidRPr="004B74D0" w:rsidRDefault="004B74D0" w:rsidP="004B74D0"/>
    <w:p w14:paraId="474C714F" w14:textId="63AC0F76" w:rsidR="00A907F4" w:rsidRPr="004B74D0" w:rsidRDefault="00213A38" w:rsidP="004B74D0">
      <w:pPr>
        <w:pStyle w:val="Title"/>
        <w:spacing w:line="240" w:lineRule="auto"/>
        <w:jc w:val="center"/>
        <w:rPr>
          <w:sz w:val="36"/>
          <w:szCs w:val="72"/>
        </w:rPr>
      </w:pPr>
      <w:r w:rsidRPr="004B74D0">
        <w:rPr>
          <w:sz w:val="36"/>
          <w:szCs w:val="72"/>
        </w:rPr>
        <w:t>Domain-Generality is an Emergent, not Inherent, Property</w:t>
      </w:r>
      <w:r w:rsidR="00DE048A" w:rsidRPr="004B74D0">
        <w:rPr>
          <w:sz w:val="36"/>
          <w:szCs w:val="72"/>
        </w:rPr>
        <w:t xml:space="preserve"> of </w:t>
      </w:r>
      <w:r w:rsidR="009F32F2" w:rsidRPr="004B74D0">
        <w:rPr>
          <w:sz w:val="36"/>
          <w:szCs w:val="72"/>
        </w:rPr>
        <w:t>Metacognition</w:t>
      </w:r>
    </w:p>
    <w:p w14:paraId="6966A9C6" w14:textId="77777777" w:rsidR="00213A38" w:rsidRDefault="00213A38" w:rsidP="00B67DE2">
      <w:pPr>
        <w:spacing w:line="240" w:lineRule="auto"/>
        <w:ind w:firstLine="0"/>
      </w:pPr>
    </w:p>
    <w:p w14:paraId="36F98B8A" w14:textId="77777777" w:rsidR="004B74D0" w:rsidRDefault="004B74D0" w:rsidP="00B67DE2">
      <w:pPr>
        <w:spacing w:line="240" w:lineRule="auto"/>
        <w:ind w:firstLine="0"/>
      </w:pPr>
    </w:p>
    <w:p w14:paraId="087C0CB7" w14:textId="77777777" w:rsidR="004B74D0" w:rsidRPr="00636F71" w:rsidRDefault="004B74D0" w:rsidP="00B67DE2">
      <w:pPr>
        <w:spacing w:line="240" w:lineRule="auto"/>
        <w:ind w:firstLine="0"/>
      </w:pPr>
    </w:p>
    <w:p w14:paraId="6F5FB233" w14:textId="522FDA62" w:rsidR="00527D06" w:rsidRPr="00636F71" w:rsidRDefault="00527D06" w:rsidP="00B67DE2">
      <w:pPr>
        <w:spacing w:line="240" w:lineRule="auto"/>
        <w:ind w:firstLine="0"/>
      </w:pPr>
      <w:r w:rsidRPr="00636F71">
        <w:t>Carolyn Baer</w:t>
      </w:r>
      <w:r w:rsidR="00A23D61">
        <w:t>*</w:t>
      </w:r>
      <w:r w:rsidRPr="00636F71">
        <w:t>, Trent University and University of British Columbia, ORCID: 0000-0003-4521-8006</w:t>
      </w:r>
      <w:r w:rsidRPr="00636F71">
        <w:br/>
        <w:t>Simona Ghetti, University of California, Davis, ORCID: 0000-0001-8282-0616</w:t>
      </w:r>
    </w:p>
    <w:p w14:paraId="45444284" w14:textId="77777777" w:rsidR="00527D06" w:rsidRDefault="00527D06" w:rsidP="00B67DE2">
      <w:pPr>
        <w:spacing w:line="240" w:lineRule="auto"/>
        <w:ind w:firstLine="0"/>
      </w:pPr>
      <w:r w:rsidRPr="00636F71">
        <w:t>Darko Odic, University of British Columbia, ORCID: 0000-0001-5783-2789</w:t>
      </w:r>
    </w:p>
    <w:p w14:paraId="0B1599F1" w14:textId="77777777" w:rsidR="00A23D61" w:rsidRDefault="00A23D61" w:rsidP="00B67DE2">
      <w:pPr>
        <w:spacing w:line="240" w:lineRule="auto"/>
        <w:ind w:firstLine="0"/>
      </w:pPr>
    </w:p>
    <w:p w14:paraId="0A746CCB" w14:textId="21894C45" w:rsidR="00A23D61" w:rsidRPr="00636F71" w:rsidRDefault="00A23D61" w:rsidP="00B67DE2">
      <w:pPr>
        <w:spacing w:line="240" w:lineRule="auto"/>
        <w:ind w:firstLine="0"/>
      </w:pPr>
      <w:r>
        <w:t>*Corresponding author: carolynbaer@trentu.ca</w:t>
      </w:r>
    </w:p>
    <w:p w14:paraId="747B80B8" w14:textId="31B28391" w:rsidR="00572FE0" w:rsidRPr="00636F71" w:rsidRDefault="00572FE0" w:rsidP="00B67DE2">
      <w:pPr>
        <w:spacing w:line="240" w:lineRule="auto"/>
        <w:ind w:firstLine="0"/>
      </w:pPr>
    </w:p>
    <w:p w14:paraId="3311D902" w14:textId="77777777" w:rsidR="00572FE0" w:rsidRPr="00636F71" w:rsidRDefault="00572FE0" w:rsidP="00B67DE2">
      <w:pPr>
        <w:pStyle w:val="Heading1"/>
        <w:spacing w:line="240" w:lineRule="auto"/>
      </w:pPr>
      <w:r w:rsidRPr="00636F71">
        <w:t>Abstract</w:t>
      </w:r>
    </w:p>
    <w:p w14:paraId="1A658D47" w14:textId="77777777" w:rsidR="00B67DE2" w:rsidRDefault="00985FDF" w:rsidP="00B67DE2">
      <w:pPr>
        <w:spacing w:line="240" w:lineRule="auto"/>
        <w:ind w:firstLine="0"/>
      </w:pPr>
      <w:bookmarkStart w:id="0" w:name="_Hlk213235640"/>
      <w:r w:rsidRPr="00636F71">
        <w:t xml:space="preserve">We experience </w:t>
      </w:r>
      <w:r w:rsidR="00554E24" w:rsidRPr="00636F71">
        <w:t>some level</w:t>
      </w:r>
      <w:r w:rsidRPr="00636F71">
        <w:t xml:space="preserve"> of confidence in all decisions we make, yet our understanding of how confidence is generated remains elusive. </w:t>
      </w:r>
      <w:bookmarkStart w:id="1" w:name="_Hlk213236113"/>
      <w:r w:rsidRPr="00636F71">
        <w:t xml:space="preserve">Here, we examine </w:t>
      </w:r>
      <w:r w:rsidR="00922467" w:rsidRPr="00636F71">
        <w:t xml:space="preserve">three potential </w:t>
      </w:r>
      <w:r w:rsidR="00DA743C" w:rsidRPr="00636F71">
        <w:t>aspects</w:t>
      </w:r>
      <w:r w:rsidR="005D7522" w:rsidRPr="00636F71">
        <w:t xml:space="preserve"> of </w:t>
      </w:r>
      <w:r w:rsidRPr="00636F71">
        <w:t xml:space="preserve">metacognitive confidence judgments </w:t>
      </w:r>
      <w:r w:rsidR="005D7522" w:rsidRPr="00636F71">
        <w:t xml:space="preserve">that </w:t>
      </w:r>
      <w:r w:rsidR="00922467" w:rsidRPr="00636F71">
        <w:t>could be</w:t>
      </w:r>
      <w:r w:rsidRPr="00636F71">
        <w:t xml:space="preserve"> </w:t>
      </w:r>
      <w:r w:rsidR="00922467" w:rsidRPr="00636F71">
        <w:t xml:space="preserve">similar </w:t>
      </w:r>
      <w:r w:rsidR="00D20C47" w:rsidRPr="00636F71">
        <w:t>across</w:t>
      </w:r>
      <w:r w:rsidRPr="00636F71">
        <w:t xml:space="preserve"> </w:t>
      </w:r>
      <w:r w:rsidR="00922467" w:rsidRPr="00636F71">
        <w:t>the</w:t>
      </w:r>
      <w:r w:rsidRPr="00636F71">
        <w:t xml:space="preserve"> distinct domains</w:t>
      </w:r>
      <w:r w:rsidR="00922467" w:rsidRPr="00636F71">
        <w:t xml:space="preserve"> of memory and perception</w:t>
      </w:r>
      <w:r w:rsidRPr="00636F71">
        <w:t xml:space="preserve"> </w:t>
      </w:r>
      <w:bookmarkStart w:id="2" w:name="_Hlk213234373"/>
      <w:bookmarkStart w:id="3" w:name="_Hlk213234423"/>
      <w:r w:rsidRPr="00636F71">
        <w:t xml:space="preserve">in adults </w:t>
      </w:r>
      <w:r w:rsidR="00D31AF6" w:rsidRPr="00636F71">
        <w:t xml:space="preserve">(N = 236) </w:t>
      </w:r>
      <w:r w:rsidRPr="00636F71">
        <w:t>and children</w:t>
      </w:r>
      <w:r w:rsidR="00D31AF6" w:rsidRPr="00636F71">
        <w:t xml:space="preserve"> (aged 4-7 years, N = 263</w:t>
      </w:r>
      <w:bookmarkStart w:id="4" w:name="_Hlk213236036"/>
      <w:r w:rsidR="00BF60B5" w:rsidRPr="00636F71">
        <w:t>; 122 girls and 141 boys</w:t>
      </w:r>
      <w:r w:rsidR="00D31AF6" w:rsidRPr="00636F71">
        <w:t>)</w:t>
      </w:r>
      <w:bookmarkEnd w:id="2"/>
      <w:bookmarkEnd w:id="4"/>
      <w:r w:rsidR="00BF60B5" w:rsidRPr="00636F71">
        <w:t xml:space="preserve"> </w:t>
      </w:r>
      <w:bookmarkStart w:id="5" w:name="_Hlk213235799"/>
      <w:r w:rsidR="00BF60B5" w:rsidRPr="00636F71">
        <w:t xml:space="preserve">from Vancouver, </w:t>
      </w:r>
      <w:bookmarkEnd w:id="5"/>
      <w:r w:rsidR="00456945" w:rsidRPr="00636F71">
        <w:t>Canada</w:t>
      </w:r>
      <w:r w:rsidRPr="00636F71">
        <w:t>.</w:t>
      </w:r>
      <w:bookmarkEnd w:id="1"/>
      <w:r w:rsidRPr="00636F71">
        <w:t xml:space="preserve"> </w:t>
      </w:r>
      <w:bookmarkEnd w:id="3"/>
      <w:r w:rsidRPr="00636F71">
        <w:t xml:space="preserve">Using episodic memory and perceptual tasks, we reveal that while confidence </w:t>
      </w:r>
      <w:r w:rsidRPr="00636F71">
        <w:rPr>
          <w:i/>
          <w:iCs/>
        </w:rPr>
        <w:t>bias</w:t>
      </w:r>
      <w:r w:rsidRPr="00636F71">
        <w:t xml:space="preserve"> correlates across domains</w:t>
      </w:r>
      <w:r w:rsidR="00D20C47" w:rsidRPr="00636F71">
        <w:t xml:space="preserve"> at all ages</w:t>
      </w:r>
      <w:r w:rsidRPr="00636F71">
        <w:t xml:space="preserve">, </w:t>
      </w:r>
      <w:r w:rsidR="00D20C47" w:rsidRPr="00636F71">
        <w:t>confidence</w:t>
      </w:r>
      <w:r w:rsidRPr="00636F71">
        <w:t xml:space="preserve"> </w:t>
      </w:r>
      <w:r w:rsidRPr="00636F71">
        <w:rPr>
          <w:i/>
          <w:iCs/>
        </w:rPr>
        <w:t>sensitivity</w:t>
      </w:r>
      <w:r w:rsidR="00D20C47" w:rsidRPr="00636F71">
        <w:t xml:space="preserve"> and </w:t>
      </w:r>
      <w:r w:rsidR="00D20C47" w:rsidRPr="00636F71">
        <w:rPr>
          <w:i/>
          <w:iCs/>
        </w:rPr>
        <w:t>efficiency</w:t>
      </w:r>
      <w:r w:rsidRPr="00636F71">
        <w:t xml:space="preserve"> </w:t>
      </w:r>
      <w:r w:rsidR="00922467" w:rsidRPr="00636F71">
        <w:t>are both</w:t>
      </w:r>
      <w:r w:rsidRPr="00636F71">
        <w:t xml:space="preserve"> distinct. </w:t>
      </w:r>
      <w:bookmarkStart w:id="6" w:name="_Hlk213235497"/>
      <w:r w:rsidRPr="00636F71">
        <w:t xml:space="preserve">Crucially, children aged 6 and older can flexibly </w:t>
      </w:r>
      <w:r w:rsidR="00BF60B5" w:rsidRPr="00636F71">
        <w:t xml:space="preserve">contrast </w:t>
      </w:r>
      <w:r w:rsidRPr="00636F71">
        <w:t xml:space="preserve">confidence </w:t>
      </w:r>
      <w:r w:rsidR="00D31AF6" w:rsidRPr="00636F71">
        <w:t xml:space="preserve">states </w:t>
      </w:r>
      <w:r w:rsidRPr="00636F71">
        <w:t>across memory and perceptual decisions, indicating a shared internal metric</w:t>
      </w:r>
      <w:r w:rsidR="00BF60B5" w:rsidRPr="00636F71">
        <w:t xml:space="preserve"> of confidence</w:t>
      </w:r>
      <w:r w:rsidRPr="00636F71">
        <w:t>.</w:t>
      </w:r>
      <w:bookmarkEnd w:id="6"/>
      <w:r w:rsidRPr="00636F71">
        <w:t xml:space="preserve"> In contrast, </w:t>
      </w:r>
      <w:r w:rsidR="00D31AF6" w:rsidRPr="00636F71">
        <w:t xml:space="preserve">4-5-year-old </w:t>
      </w:r>
      <w:r w:rsidRPr="00636F71">
        <w:t>children struggle with cross-domain comparisons, highlighting a developmental transition in metacognitive processing. Overall, findings highlight the distinct yet commensurable nature of memory and perceptual confidence, with domain-general processes emerging by age 6</w:t>
      </w:r>
      <w:r w:rsidR="00D20C47" w:rsidRPr="00636F71">
        <w:t>.</w:t>
      </w:r>
      <w:bookmarkEnd w:id="0"/>
    </w:p>
    <w:p w14:paraId="68079C26" w14:textId="77777777" w:rsidR="00B67DE2" w:rsidRDefault="00B67DE2" w:rsidP="00B67DE2">
      <w:pPr>
        <w:spacing w:line="240" w:lineRule="auto"/>
        <w:ind w:firstLine="0"/>
      </w:pPr>
    </w:p>
    <w:p w14:paraId="44E9A074" w14:textId="77777777" w:rsidR="00B67DE2" w:rsidRPr="00B67DE2" w:rsidRDefault="00B67DE2" w:rsidP="00B67DE2">
      <w:pPr>
        <w:spacing w:line="240" w:lineRule="auto"/>
        <w:rPr>
          <w:sz w:val="20"/>
          <w:szCs w:val="20"/>
        </w:rPr>
      </w:pPr>
      <w:r w:rsidRPr="00B67DE2">
        <w:rPr>
          <w:b/>
          <w:bCs/>
          <w:sz w:val="20"/>
          <w:szCs w:val="20"/>
        </w:rPr>
        <w:t xml:space="preserve">Code Availability: </w:t>
      </w:r>
      <w:r w:rsidRPr="00B67DE2">
        <w:rPr>
          <w:sz w:val="20"/>
          <w:szCs w:val="20"/>
        </w:rPr>
        <w:t xml:space="preserve">The code used to present stimuli to participants and to analyze data are available on the Open Science Framework at </w:t>
      </w:r>
      <w:hyperlink r:id="rId8" w:history="1">
        <w:r w:rsidRPr="00B67DE2">
          <w:rPr>
            <w:rStyle w:val="Hyperlink"/>
            <w:sz w:val="20"/>
            <w:szCs w:val="20"/>
          </w:rPr>
          <w:t>https://osf.io/hf6xj/</w:t>
        </w:r>
      </w:hyperlink>
      <w:r w:rsidRPr="00B67DE2">
        <w:rPr>
          <w:sz w:val="20"/>
          <w:szCs w:val="20"/>
        </w:rPr>
        <w:t>.</w:t>
      </w:r>
    </w:p>
    <w:p w14:paraId="51BD5CCE" w14:textId="77777777" w:rsidR="00B67DE2" w:rsidRPr="00B67DE2" w:rsidRDefault="00B67DE2" w:rsidP="00B67DE2">
      <w:pPr>
        <w:spacing w:line="240" w:lineRule="auto"/>
        <w:ind w:firstLine="0"/>
        <w:rPr>
          <w:sz w:val="20"/>
          <w:szCs w:val="20"/>
        </w:rPr>
      </w:pPr>
    </w:p>
    <w:p w14:paraId="689E1C6E" w14:textId="77777777" w:rsidR="00B67DE2" w:rsidRPr="00B67DE2" w:rsidRDefault="00B67DE2" w:rsidP="00B67DE2">
      <w:pPr>
        <w:spacing w:line="240" w:lineRule="auto"/>
        <w:rPr>
          <w:sz w:val="20"/>
          <w:szCs w:val="20"/>
        </w:rPr>
      </w:pPr>
      <w:r w:rsidRPr="00B67DE2">
        <w:rPr>
          <w:b/>
          <w:bCs/>
          <w:sz w:val="20"/>
          <w:szCs w:val="20"/>
        </w:rPr>
        <w:t>Acknowledgements:</w:t>
      </w:r>
      <w:r w:rsidRPr="00B67DE2">
        <w:rPr>
          <w:sz w:val="20"/>
          <w:szCs w:val="20"/>
        </w:rPr>
        <w:t xml:space="preserve"> This work was funded by the Social Sciences and Humanities Research Council of Canada through an Insight Development Grant (to D.O.), a Canada Graduate Scholarship (to C.B.) and Postdoctoral Fellowship (to C.B.). The funders had no role in study design, data collection and analysis, decision to publish or preparation of the manuscript. Thanks to Samin Alighanadi, Beatriz Araujo, Leona Cheng, Ashley Choo, Divya Gupta, Nick Fai, Mahnoor Faisal, Eddie Kim, Somi Lim, Stephanie Markovic, Dylan Omejc, Tanya Pardiwalla, Sally Poon, Isabella Schoettler, Eliscia Sinclair, Megan Toi, and Jovita Wiyogo for their assistance with data collection, to CB’s writing groups for feedback on portions of the manuscript, and to all the schools and families for their support.</w:t>
      </w:r>
    </w:p>
    <w:p w14:paraId="14B5A0C0" w14:textId="77777777" w:rsidR="00B67DE2" w:rsidRPr="00B67DE2" w:rsidRDefault="00B67DE2" w:rsidP="00B67DE2">
      <w:pPr>
        <w:spacing w:line="240" w:lineRule="auto"/>
        <w:rPr>
          <w:sz w:val="20"/>
          <w:szCs w:val="20"/>
        </w:rPr>
      </w:pPr>
    </w:p>
    <w:p w14:paraId="16E491BC" w14:textId="77777777" w:rsidR="00B67DE2" w:rsidRPr="00B67DE2" w:rsidRDefault="00B67DE2" w:rsidP="00B67DE2">
      <w:pPr>
        <w:spacing w:line="240" w:lineRule="auto"/>
        <w:rPr>
          <w:sz w:val="20"/>
          <w:szCs w:val="20"/>
        </w:rPr>
      </w:pPr>
      <w:r w:rsidRPr="00B67DE2">
        <w:rPr>
          <w:b/>
          <w:bCs/>
          <w:sz w:val="20"/>
          <w:szCs w:val="20"/>
        </w:rPr>
        <w:t>Author Contributions:</w:t>
      </w:r>
      <w:r w:rsidRPr="00B67DE2">
        <w:rPr>
          <w:sz w:val="20"/>
          <w:szCs w:val="20"/>
        </w:rPr>
        <w:t xml:space="preserve"> CB, SG, and DO all contributed to the conceptualization and design of the studies. CB and DO programmed the experiments. CB coordinated data collection, conducted analyses, and drafted the manuscript. CB, SG, and DO all provided critical edits.</w:t>
      </w:r>
    </w:p>
    <w:p w14:paraId="59B7A4AC" w14:textId="77777777" w:rsidR="00B67DE2" w:rsidRPr="00B67DE2" w:rsidRDefault="00B67DE2" w:rsidP="00B67DE2">
      <w:pPr>
        <w:spacing w:line="240" w:lineRule="auto"/>
        <w:rPr>
          <w:sz w:val="20"/>
          <w:szCs w:val="20"/>
        </w:rPr>
      </w:pPr>
    </w:p>
    <w:p w14:paraId="7CD7A395" w14:textId="77777777" w:rsidR="005A785C" w:rsidRDefault="00B67DE2" w:rsidP="00B67DE2">
      <w:pPr>
        <w:spacing w:line="240" w:lineRule="auto"/>
        <w:rPr>
          <w:sz w:val="20"/>
          <w:szCs w:val="20"/>
        </w:rPr>
      </w:pPr>
      <w:r w:rsidRPr="00B67DE2">
        <w:rPr>
          <w:b/>
          <w:bCs/>
          <w:sz w:val="20"/>
          <w:szCs w:val="20"/>
        </w:rPr>
        <w:t>Competing Interests:</w:t>
      </w:r>
      <w:r w:rsidRPr="00B67DE2">
        <w:rPr>
          <w:sz w:val="20"/>
          <w:szCs w:val="20"/>
        </w:rPr>
        <w:t xml:space="preserve"> The authors declare no competing interests.</w:t>
      </w:r>
    </w:p>
    <w:p w14:paraId="093E4287" w14:textId="77777777" w:rsidR="005A785C" w:rsidRDefault="005A785C">
      <w:pPr>
        <w:ind w:firstLine="0"/>
        <w:rPr>
          <w:sz w:val="20"/>
          <w:szCs w:val="20"/>
        </w:rPr>
      </w:pPr>
      <w:r>
        <w:rPr>
          <w:sz w:val="20"/>
          <w:szCs w:val="20"/>
        </w:rPr>
        <w:br w:type="page"/>
      </w:r>
    </w:p>
    <w:p w14:paraId="0B30737C" w14:textId="77AB7F44" w:rsidR="00572FE0" w:rsidRPr="00636F71" w:rsidRDefault="00572FE0" w:rsidP="00B67DE2">
      <w:pPr>
        <w:spacing w:line="240" w:lineRule="auto"/>
      </w:pPr>
      <w:r w:rsidRPr="00636F71">
        <w:lastRenderedPageBreak/>
        <w:br w:type="page"/>
      </w:r>
    </w:p>
    <w:p w14:paraId="3D18A8E7" w14:textId="77777777" w:rsidR="005A785C" w:rsidRDefault="005A785C" w:rsidP="00B67DE2">
      <w:pPr>
        <w:spacing w:line="240" w:lineRule="auto"/>
        <w:sectPr w:rsidR="005A785C" w:rsidSect="00184747">
          <w:headerReference w:type="default" r:id="rId9"/>
          <w:pgSz w:w="12240" w:h="15840"/>
          <w:pgMar w:top="993" w:right="1440" w:bottom="709" w:left="1440" w:header="708" w:footer="708" w:gutter="0"/>
          <w:cols w:space="708"/>
          <w:docGrid w:linePitch="360"/>
        </w:sectPr>
      </w:pPr>
    </w:p>
    <w:p w14:paraId="36B7025D" w14:textId="09A09ACC" w:rsidR="001C286E" w:rsidRPr="00636F71" w:rsidRDefault="001C286E" w:rsidP="005A785C">
      <w:pPr>
        <w:spacing w:line="240" w:lineRule="auto"/>
        <w:jc w:val="both"/>
      </w:pPr>
      <w:r w:rsidRPr="00636F71">
        <w:t xml:space="preserve">We experience </w:t>
      </w:r>
      <w:r w:rsidR="00554E24" w:rsidRPr="00636F71">
        <w:t>some level</w:t>
      </w:r>
      <w:r w:rsidRPr="00636F71">
        <w:t xml:space="preserve"> of confidence whenever we make decisions: “I </w:t>
      </w:r>
      <w:r w:rsidR="00762BF1" w:rsidRPr="00D35B02">
        <w:t>am sure</w:t>
      </w:r>
      <w:r w:rsidR="00762BF1" w:rsidRPr="00636F71">
        <w:t xml:space="preserve"> </w:t>
      </w:r>
      <w:r w:rsidRPr="00636F71">
        <w:t xml:space="preserve">I locked my door,” or “I </w:t>
      </w:r>
      <w:r w:rsidR="00762BF1" w:rsidRPr="00D35B02">
        <w:t>am not sure</w:t>
      </w:r>
      <w:r w:rsidR="00E02C8E" w:rsidRPr="00636F71">
        <w:t xml:space="preserve"> </w:t>
      </w:r>
      <w:r w:rsidR="00762BF1" w:rsidRPr="00636F71">
        <w:t xml:space="preserve">I </w:t>
      </w:r>
      <w:r w:rsidR="00056712" w:rsidRPr="00636F71">
        <w:t>can see</w:t>
      </w:r>
      <w:r w:rsidR="00762BF1" w:rsidRPr="00636F71">
        <w:t xml:space="preserve"> the </w:t>
      </w:r>
      <w:r w:rsidR="00E02C8E" w:rsidRPr="00636F71">
        <w:t xml:space="preserve">lake </w:t>
      </w:r>
      <w:r w:rsidRPr="00636F71">
        <w:t xml:space="preserve">in </w:t>
      </w:r>
      <w:r w:rsidR="00FC6D25" w:rsidRPr="00636F71">
        <w:t xml:space="preserve">this </w:t>
      </w:r>
      <w:r w:rsidRPr="00636F71">
        <w:t>fog.” Confidence is a valuable signal that alerts us to the reliability of our thoughts</w:t>
      </w:r>
      <w:r w:rsidR="00292350" w:rsidRPr="00636F71">
        <w:t xml:space="preserve"> </w:t>
      </w:r>
      <w:r w:rsidR="00934A42" w:rsidRPr="00636F71">
        <w:fldChar w:fldCharType="begin"/>
      </w:r>
      <w:r w:rsidR="002137B9" w:rsidRPr="00636F71">
        <w:instrText xml:space="preserve"> ADDIN ZOTERO_ITEM CSL_CITATION {"citationID":"WOrjGRXa","properties":{"formattedCitation":"\\super 1,2\\nosupersub{}","plainCitation":"1,2","noteIndex":0},"citationItems":[{"id":2084,"uris":["http://zotero.org/users/3750895/items/DHUNZ5FW"],"itemData":{"id":2084,"type":"article-journal","abstract":"Learners use certainty to guide learning. They maintain existing beliefs when certain, but seek further information when they feel uninformed. Here, we review developmental evidence that this metacognitive strategy does not require reportable processing. Uncertainty prompts nonverbal human infants and nonhuman animals to engage in strategies like seeking help, searching for additional information, or opting out. Certainty directs children’s attention and active learning strategies and provides a common metric for comparing and integrating conflicting beliefs across people. We conclude that certainty is a continuous, domain-general signal of belief quality even early in life.","container-title":"Trends in Cognitive Sciences","DOI":"10.1016/j.tics.2022.07.010","ISSN":"1364-6613","issue":"10","journalAbbreviation":"Trends in Cognitive Sciences","language":"en","license":"All rights reserved","page":"887-896","source":"ScienceDirect","title":"Learning with certainty in childhood","volume":"26","author":[{"family":"Baer","given":"Carolyn"},{"family":"Kidd","given":"Celeste"}],"issued":{"date-parts":[["2022",10,1]]}}},{"id":298,"uris":["http://zotero.org/users/3750895/items/2IQGUQ8T"],"itemData":{"id":298,"type":"article-journal","abstract":"When facing uncertainty, adaptive behavioral strategies demand that the brain performs probabilistic computations. In this probabilistic framework, the notion of certainty and confidence would appear to be closely related, so much so that it is tempting to conclude that these two concepts are one and the same. We argue that there are computational reasons to distinguish between these two concepts. Specifically, we propose that confidence should be defined as the probability that a decision or a proposition, overt or covert, is correct given the evidence, a critical quantity in complex sequential decisions. We suggest that the term certainty should be reserved to refer to the encoding of all other probability distributions over sensory and cognitive variables. We also discuss strategies for studying the neural codes for confidence and certainty and argue that clear definitions of neural codes are essential to understanding the relative contributions of various cortical areas to decision making.","container-title":"Nature neuroscience","DOI":"10.1038/nn.4240","ISSN":"1097-6256","journalAbbreviation":"Nat Neurosci","note":"PMID: 26906503\nPMCID: PMC5378479","page":"366-374","source":"PubMed Central","title":"Confidence and certainty: distinct probabilistic quantities for different goals","title-short":"Confidence and certainty","volume":"19","author":[{"family":"Pouget","given":"Alexandre"},{"family":"Drugowitsch","given":"Jan"},{"family":"Kepecs","given":"Adam"}],"issued":{"date-parts":[["2016",3]]}}}],"schema":"https://github.com/citation-style-language/schema/raw/master/csl-citation.json"} </w:instrText>
      </w:r>
      <w:r w:rsidR="00934A42" w:rsidRPr="00636F71">
        <w:fldChar w:fldCharType="separate"/>
      </w:r>
      <w:r w:rsidR="002137B9" w:rsidRPr="00636F71">
        <w:rPr>
          <w:vertAlign w:val="superscript"/>
        </w:rPr>
        <w:t>1,2</w:t>
      </w:r>
      <w:r w:rsidR="00934A42" w:rsidRPr="00636F71">
        <w:fldChar w:fldCharType="end"/>
      </w:r>
      <w:r w:rsidRPr="00636F71">
        <w:t>. But the mechanisms that explain how humans estimate and evaluate confidence</w:t>
      </w:r>
      <w:r w:rsidR="00B51A48" w:rsidRPr="00636F71">
        <w:t xml:space="preserve"> remain a puzzle for cognitive scientists.</w:t>
      </w:r>
    </w:p>
    <w:p w14:paraId="4A91C338" w14:textId="77777777" w:rsidR="005A785C" w:rsidRDefault="0015250F" w:rsidP="005A785C">
      <w:pPr>
        <w:spacing w:line="240" w:lineRule="auto"/>
        <w:jc w:val="both"/>
        <w:rPr>
          <w:noProof/>
        </w:rPr>
      </w:pPr>
      <w:r w:rsidRPr="00636F71">
        <w:t>Estimating c</w:t>
      </w:r>
      <w:r w:rsidR="00896813" w:rsidRPr="00636F71">
        <w:t>onfidence is a multistep process</w:t>
      </w:r>
      <w:r w:rsidR="005815F5" w:rsidRPr="00636F71">
        <w:t xml:space="preserve"> </w:t>
      </w:r>
      <w:r w:rsidR="00934A42" w:rsidRPr="00636F71">
        <w:fldChar w:fldCharType="begin"/>
      </w:r>
      <w:r w:rsidR="002137B9" w:rsidRPr="00636F71">
        <w:instrText xml:space="preserve"> ADDIN ZOTERO_ITEM CSL_CITATION {"citationID":"ycbWYbxk","properties":{"formattedCitation":"\\super 2\\uc0\\u8211{}4\\nosupersub{}","plainCitation":"2–4","noteIndex":0},"citationItems":[{"id":902,"uris":["http://zotero.org/users/3750895/items/A9C42QRK"],"itemData":{"id":902,"type":"article-journal","abstract":"The ability to recognize one's own successful cognitive processing, in e.g. perceptual or memory tasks, is often referred to as metacognition. How should we quantitatively measure such ability? Here we focus on a class of measures that assess the correspondence between trial-by-trial accuracy and one's own confidence. In general, for healthy subjects endowed with metacognitive sensitivity, when one is confident, one is more likely to be correct. Thus the degree of association between accuracy and confidence can be taken as a quantitative measure of metacognition. However, many studies use a statistical correlation coefficient (e.g. Pearson's r) or its variant to assess this degree of association, and such measures are susceptible to undesirable influences from factors such as response biases. Here we review other measures based on signal detection theory and receiver operating characteristics (ROC) analysis that are “bias free”, and relate these quantities to the calibration and discrimination measures developed in the probability estimation literature. We go on to distinguish between the related concepts of metacognitive bias (a difference in subjective confidence despite basic task performance remaining constant), metacognitive sensitivity (how good one is at distinguishing between one’s own correct and incorrect judgments) and metacognitive efficiency (a subject’s level of metacognitive sensitivity given a certain level of task performance). Finally, we discuss how these three concepts pose interesting questions for the study of metacognition and conscious awareness.","container-title":"Frontiers in Human Neuroscience","DOI":"10.3389/fnhum.2014.00443","ISSN":"1662-5161","journalAbbreviation":"Front. Hum. Neurosci.","language":"English","page":"443","source":"Frontiers","title":"How to measure metacognition","volume":"8","author":[{"family":"Fleming","given":"Stephen M."},{"family":"Lau","given":"Hakwan C."}],"issued":{"date-parts":[["2014"]]}}},{"id":286,"uris":["http://zotero.org/users/3750895/items/A8VCSXAN"],"itemData":{"id":286,"type":"article-journal","abstract":"It has been known for over 40 years that there are two fundamentally different kinds of detection tasks in the theory of signal detectability. The Type 1 task is to distinguish between events defined independently of the observer; the Type 2 task is to distinguish between one’s own correct and incorrect decisions about those Type 1 events. For the Type 1 task, the behavior of the detector can be summarized by the traditional receiver operating characteristic (ROC) curve. This curve can be compared with a theoretical ROC curve, which can be generated from overlapping probability functions conditional on the Type 1 events on an appropriate decision axis. We show how to derive the probability functions underlying Type 2 decisions from those for the Type 1 task. ROC curves and the usual measures of performance are readily obtained from those Type 2 functions, and some relationships among various Type 1 and Type 2 performance measures are presented. We discuss the relationshiPbetween Type 1 and Type 2 confidence ratings and caution against the practice of presenting transformed Type 2 ratings as empirical Type 1 ratings.","container-title":"Psychonomic Bulletin &amp; Review","DOI":"10.3758/BF03196546","ISSN":"1069-9384, 1531-5320","journalAbbreviation":"Psychonomic Bulletin &amp; Review","language":"en","page":"843-876","source":"link.springer.com","title":"Type 2 tasks in the theory of signal detectability: Discrimination between correct and incorrect decisions","title-short":"Type 2 tasks in the theory of signal detectability","volume":"10","author":[{"family":"Galvin","given":"Susan J."},{"family":"Podd","given":"John V."},{"family":"Drga","given":"Vit"},{"family":"Whitmore","given":"John"}],"issued":{"date-parts":[["2003",12,1]]}}},{"id":298,"uris":["http://zotero.org/users/3750895/items/2IQGUQ8T"],"itemData":{"id":298,"type":"article-journal","abstract":"When facing uncertainty, adaptive behavioral strategies demand that the brain performs probabilistic computations. In this probabilistic framework, the notion of certainty and confidence would appear to be closely related, so much so that it is tempting to conclude that these two concepts are one and the same. We argue that there are computational reasons to distinguish between these two concepts. Specifically, we propose that confidence should be defined as the probability that a decision or a proposition, overt or covert, is correct given the evidence, a critical quantity in complex sequential decisions. We suggest that the term certainty should be reserved to refer to the encoding of all other probability distributions over sensory and cognitive variables. We also discuss strategies for studying the neural codes for confidence and certainty and argue that clear definitions of neural codes are essential to understanding the relative contributions of various cortical areas to decision making.","container-title":"Nature neuroscience","DOI":"10.1038/nn.4240","ISSN":"1097-6256","journalAbbreviation":"Nat Neurosci","note":"PMID: 26906503\nPMCID: PMC5378479","page":"366-374","source":"PubMed Central","title":"Confidence and certainty: distinct probabilistic quantities for different goals","title-short":"Confidence and certainty","volume":"19","author":[{"family":"Pouget","given":"Alexandre"},{"family":"Drugowitsch","given":"Jan"},{"family":"Kepecs","given":"Adam"}],"issued":{"date-parts":[["2016",3]]}}}],"schema":"https://github.com/citation-style-language/schema/raw/master/csl-citation.json"} </w:instrText>
      </w:r>
      <w:r w:rsidR="00934A42" w:rsidRPr="00636F71">
        <w:fldChar w:fldCharType="separate"/>
      </w:r>
      <w:r w:rsidR="002137B9" w:rsidRPr="00636F71">
        <w:rPr>
          <w:vertAlign w:val="superscript"/>
        </w:rPr>
        <w:t>2–4</w:t>
      </w:r>
      <w:r w:rsidR="00934A42" w:rsidRPr="00636F71">
        <w:fldChar w:fldCharType="end"/>
      </w:r>
      <w:r w:rsidR="00896813" w:rsidRPr="00636F71">
        <w:t>.</w:t>
      </w:r>
      <w:r w:rsidR="006F7A06" w:rsidRPr="00636F71">
        <w:t xml:space="preserve"> </w:t>
      </w:r>
      <w:r w:rsidR="00896813" w:rsidRPr="00636F71">
        <w:t>After making a decision</w:t>
      </w:r>
      <w:r w:rsidRPr="00636F71">
        <w:t xml:space="preserve">, </w:t>
      </w:r>
      <w:r w:rsidR="00896813" w:rsidRPr="00636F71">
        <w:t xml:space="preserve">we </w:t>
      </w:r>
      <w:r w:rsidR="00292350" w:rsidRPr="00636F71">
        <w:t>must</w:t>
      </w:r>
      <w:r w:rsidR="00896813" w:rsidRPr="00636F71">
        <w:t xml:space="preserve"> first attend to some internal signal that informs us about the reliability of that decision. For example, </w:t>
      </w:r>
      <w:r w:rsidR="00B51A48" w:rsidRPr="00636F71">
        <w:t xml:space="preserve">an individual </w:t>
      </w:r>
      <w:r w:rsidR="00896813" w:rsidRPr="00636F71">
        <w:t xml:space="preserve">might </w:t>
      </w:r>
      <w:r w:rsidR="00A23EFD" w:rsidRPr="00636F71">
        <w:t>have access to</w:t>
      </w:r>
      <w:r w:rsidR="00896813" w:rsidRPr="00636F71">
        <w:t xml:space="preserve"> the perceptual noise inherent in their representations of the world, and use it </w:t>
      </w:r>
      <w:r w:rsidR="0037747B" w:rsidRPr="00636F71">
        <w:t>to generate</w:t>
      </w:r>
      <w:r w:rsidR="00896813" w:rsidRPr="00636F71">
        <w:t xml:space="preserve"> confidence</w:t>
      </w:r>
      <w:r w:rsidR="00A23EFD" w:rsidRPr="00636F71">
        <w:t xml:space="preserve"> </w:t>
      </w:r>
      <w:r w:rsidR="0037747B" w:rsidRPr="00636F71">
        <w:fldChar w:fldCharType="begin"/>
      </w:r>
      <w:r w:rsidR="002137B9" w:rsidRPr="00636F71">
        <w:instrText xml:space="preserve"> ADDIN ZOTERO_ITEM CSL_CITATION {"citationID":"y9hfpBcG","properties":{"formattedCitation":"\\super 5,6\\nosupersub{}","plainCitation":"5,6","noteIndex":0},"citationItems":[{"id":167,"uris":["http://zotero.org/users/3750895/items/UAAGP5DG"],"itemData":{"id":167,"type":"article-journal","container-title":"Evolutionary Origins and Early Development of Number Processing","DOI":"10.1016/B978-0-12-420133-0.00012-0","page":"305-333","source":"Google Scholar","title":"The precision and internal confidence of our approximate number thoughts","author":[{"family":"Halberda","given":"J"},{"family":"Odic","given":"Darko"}],"issued":{"date-parts":[["2014"]]}}},{"id":876,"uris":["http://zotero.org/users/3750895/items/MJCTIPME"],"itemData":{"id":876,"type":"article-journal","abstract":"Decisive Monkeys\nDecision-making is a central theme in current research in cognitive neuroscience. Behavioral protocols have provided an entry into explorations of the neural processes that underlie decision-making. Empirical studies have provided support for a diffusion model in which information accumulates over time until a threshold is reached, with noisiness in the inputs related to decision errors. Kiani and Shadlen (p. 759) developed a behavioral task to study choice certainty and identified the corresponding neuronal representations in monkeys. The monkeys were allowed to choose to opt out of an uncertain, higher reward choice in favor of a certain, lower payoff. The same neurons that encoded the information used to make a choice also encoded the extent of certainty, which in humans would be described as the degree of confidence in one's decision.\nThe degree of confidence in a decision provides a graded and probabilistic assessment of expected outcome. Although neural mechanisms of perceptual decisions have been studied extensively in primates, little is known about the mechanisms underlying choice certainty. We have shown that the same neurons that represent formation of a decision encode certainty about the decision. Rhesus monkeys made decisions about the direction of moving random dots, spanning a range of difficulties. They were rewarded for correct decisions. On some trials, after viewing the stimulus, the monkeys could opt out of the direction decision for a small but certain reward. Monkeys exercised this option in a manner that revealed their degree of certainty. Neurons in parietal cortex represented formation of the direction decision and the degree of certainty underlying the decision to opt out.\nNeurons in the primate parietal cortex encode information required to make a decision and also the certainty of that choice.\nNeurons in the primate parietal cortex encode information required to make a decision and also the certainty of that choice.","container-title":"Science","DOI":"10.1126/science.1169405","ISSN":"0036-8075, 1095-9203","language":"en","license":"Copyright © 2009, American Association for the Advancement of Science","note":"PMID: 19423820","page":"759-764","source":"science-sciencemag-org.ezproxy.library.ubc.ca","title":"Representation of confidence associated with a decision by neurons in the parietal cortex","volume":"324","author":[{"family":"Kiani","given":"Roozbeh"},{"family":"Shadlen","given":"Michael N."}],"issued":{"date-parts":[["2009",5,8]]}}}],"schema":"https://github.com/citation-style-language/schema/raw/master/csl-citation.json"} </w:instrText>
      </w:r>
      <w:r w:rsidR="0037747B" w:rsidRPr="00636F71">
        <w:fldChar w:fldCharType="separate"/>
      </w:r>
      <w:r w:rsidR="002137B9" w:rsidRPr="00636F71">
        <w:rPr>
          <w:vertAlign w:val="superscript"/>
        </w:rPr>
        <w:t>5,6</w:t>
      </w:r>
      <w:r w:rsidR="0037747B" w:rsidRPr="00636F71">
        <w:fldChar w:fldCharType="end"/>
      </w:r>
      <w:r w:rsidR="00896813" w:rsidRPr="00636F71">
        <w:t xml:space="preserve">. </w:t>
      </w:r>
      <w:r w:rsidR="005815F5" w:rsidRPr="00636F71">
        <w:t>After finding the relevant signal</w:t>
      </w:r>
      <w:r w:rsidR="00B51A48" w:rsidRPr="00636F71">
        <w:t xml:space="preserve"> for the decision</w:t>
      </w:r>
      <w:r w:rsidR="005815F5" w:rsidRPr="00636F71">
        <w:t>,</w:t>
      </w:r>
      <w:r w:rsidR="00B51A48" w:rsidRPr="00636F71">
        <w:t xml:space="preserve"> </w:t>
      </w:r>
      <w:r w:rsidR="005815F5" w:rsidRPr="00636F71">
        <w:t xml:space="preserve">the </w:t>
      </w:r>
      <w:r w:rsidR="00B51A48" w:rsidRPr="00636F71">
        <w:t xml:space="preserve">individual </w:t>
      </w:r>
      <w:r w:rsidR="005815F5" w:rsidRPr="00636F71">
        <w:t xml:space="preserve">must convert it to a </w:t>
      </w:r>
      <w:r w:rsidR="005815F5" w:rsidRPr="00D35B02">
        <w:t>scaled value</w:t>
      </w:r>
      <w:r w:rsidR="008A2AFB" w:rsidRPr="00636F71">
        <w:t xml:space="preserve"> such as a numeric </w:t>
      </w:r>
      <w:r w:rsidR="005815F5" w:rsidRPr="00636F71">
        <w:t>probability of having made the right decision</w:t>
      </w:r>
      <w:r w:rsidR="008A2AFB" w:rsidRPr="00636F71">
        <w:t xml:space="preserve"> </w:t>
      </w:r>
      <w:r w:rsidR="0037747B" w:rsidRPr="00636F71">
        <w:fldChar w:fldCharType="begin"/>
      </w:r>
      <w:r w:rsidR="002137B9" w:rsidRPr="00636F71">
        <w:instrText xml:space="preserve"> ADDIN ZOTERO_ITEM CSL_CITATION {"citationID":"FFNbGT8U","properties":{"formattedCitation":"\\super 2,7\\nosupersub{}","plainCitation":"2,7","noteIndex":0},"citationItems":[{"id":1834,"uris":["http://zotero.org/users/3750895/items/CZ5D7FYR"],"itemData":{"id":1834,"type":"article-journal","abstract":"Each perceptual decision is commonly attached to a judgment of confidence in the uncertainty of that decision. Confidence is classically defined as the estimate of the posterior probability of the decision to be correct, given the evidence. Here we argue that correctness is neither a valid normative statement of what observers should be doing after their perceptual decision nor a proper descriptive statement of what they actually do. Instead, we propose that perceivers aim at being self-consistent with themselves. We present behavioral evidence obtained in two separate psychophysical experiments that human observers achieve that aim. In one experiment adaptation led to aftereffects, and in the other prior stimulus occurrences were manipulated. We show that confidence judgments perfectly follow changes in perceptual reports and response times, regardless of the nature of the bias. Although observers are able to judge the validity of their percepts, they are oblivious to how biased these percepts are. Focusing on self-consistency rather than correctness leads us to interpret confidence as an estimate of the reliability of one's perceptual decision rather than a distance to an unattainable truth.","container-title":"Journal of Vision","DOI":"10.1167/jov.21.12.8","ISSN":"1534-7362","issue":"12","journalAbbreviation":"Journal of Vision","page":"8","source":"Silverchair","title":"Perceptual confidence judgments reflect self-consistency","volume":"21","author":[{"family":"Caziot","given":"Baptiste"},{"family":"Mamassian","given":"Pascal"}],"issued":{"date-parts":[["2021",11,18]]}}},{"id":298,"uris":["http://zotero.org/users/3750895/items/2IQGUQ8T"],"itemData":{"id":298,"type":"article-journal","abstract":"When facing uncertainty, adaptive behavioral strategies demand that the brain performs probabilistic computations. In this probabilistic framework, the notion of certainty and confidence would appear to be closely related, so much so that it is tempting to conclude that these two concepts are one and the same. We argue that there are computational reasons to distinguish between these two concepts. Specifically, we propose that confidence should be defined as the probability that a decision or a proposition, overt or covert, is correct given the evidence, a critical quantity in complex sequential decisions. We suggest that the term certainty should be reserved to refer to the encoding of all other probability distributions over sensory and cognitive variables. We also discuss strategies for studying the neural codes for confidence and certainty and argue that clear definitions of neural codes are essential to understanding the relative contributions of various cortical areas to decision making.","container-title":"Nature neuroscience","DOI":"10.1038/nn.4240","ISSN":"1097-6256","journalAbbreviation":"Nat Neurosci","note":"PMID: 26906503\nPMCID: PMC5378479","page":"366-374","source":"PubMed Central","title":"Confidence and certainty: distinct probabilistic quantities for different goals","title-short":"Confidence and certainty","volume":"19","author":[{"family":"Pouget","given":"Alexandre"},{"family":"Drugowitsch","given":"Jan"},{"family":"Kepecs","given":"Adam"}],"issued":{"date-parts":[["2016",3]]}}}],"schema":"https://github.com/citation-style-language/schema/raw/master/csl-citation.json"} </w:instrText>
      </w:r>
      <w:r w:rsidR="0037747B" w:rsidRPr="00636F71">
        <w:fldChar w:fldCharType="separate"/>
      </w:r>
      <w:r w:rsidR="002137B9" w:rsidRPr="00636F71">
        <w:rPr>
          <w:vertAlign w:val="superscript"/>
        </w:rPr>
        <w:t>2,7</w:t>
      </w:r>
      <w:r w:rsidR="0037747B" w:rsidRPr="00636F71">
        <w:fldChar w:fldCharType="end"/>
      </w:r>
      <w:r w:rsidR="005815F5" w:rsidRPr="00636F71">
        <w:t xml:space="preserve">. </w:t>
      </w:r>
      <w:r w:rsidR="005E518A" w:rsidRPr="00636F71">
        <w:t xml:space="preserve">Evidence for scaling can be found, for example, in findings that integrating multiple sensory signals is relativized by the confidence in each </w:t>
      </w:r>
      <w:r w:rsidR="006F7A06" w:rsidRPr="00636F71">
        <w:fldChar w:fldCharType="begin"/>
      </w:r>
      <w:r w:rsidR="002137B9" w:rsidRPr="00636F71">
        <w:instrText xml:space="preserve"> ADDIN ZOTERO_ITEM CSL_CITATION {"citationID":"HUcQ7Xdd","properties":{"formattedCitation":"\\super 8\\nosupersub{}","plainCitation":"8","noteIndex":0},"citationItems":[{"id":423,"uris":["http://zotero.org/users/3750895/items/CXFI6YFS"],"itemData":{"id":423,"type":"article-journal","abstract":"Ventriloquism is the ancient art of making one's voice appear to come from elsewhere, an art exploited by the Greek and Roman oracles, and possibly earlier [1]. We regularly experience the effect when watching television and movies, where the voices seem to emanate from the actors' lips rather than from the actual sound source. Originally, ventriloquism was explained by performers projecting sound to their puppets by special techniques [1], but more recently it is assumed that ventriloquism results from vision “capturing” sound 2., 3., 4., 5.. In this study we investigate spatial localization of audio-visual stimuli. When visual localization is good, vision does indeed dominate and capture sound. However, for severely blurred visual stimuli (that are poorly localized), the reverse holds: sound captures vision. For less blurred stimuli, neither sense dominates and perception follows the mean position. Precision of bimodal localization is usually better than either the visual or the auditory unimodal presentation. All the results are well explained not by one sense capturing the other, but by a simple model of optimal combination of visual and auditory information.","container-title":"Current Biology","DOI":"10.1016/j.cub.2004.01.029","ISSN":"0960-9822","journalAbbreviation":"Current Biology","language":"en","page":"257-262","source":"ScienceDirect","title":"The ventriloquist effect results from near-optimal bimodal integration","volume":"14","author":[{"family":"Alais","given":"David"},{"family":"Burr","given":"David"}],"issued":{"date-parts":[["2004",2,3]]}}}],"schema":"https://github.com/citation-style-language/schema/raw/master/csl-citation.json"} </w:instrText>
      </w:r>
      <w:r w:rsidR="006F7A06" w:rsidRPr="00636F71">
        <w:fldChar w:fldCharType="separate"/>
      </w:r>
      <w:r w:rsidR="002137B9" w:rsidRPr="00636F71">
        <w:rPr>
          <w:vertAlign w:val="superscript"/>
        </w:rPr>
        <w:t>8</w:t>
      </w:r>
      <w:r w:rsidR="006F7A06" w:rsidRPr="00636F71">
        <w:fldChar w:fldCharType="end"/>
      </w:r>
      <w:r w:rsidR="006F7A06" w:rsidRPr="00636F71">
        <w:t xml:space="preserve">. </w:t>
      </w:r>
      <w:r w:rsidR="005815F5" w:rsidRPr="00636F71">
        <w:t>Finally, if asked to externalize confidence (e.g., in words, or on a Likert</w:t>
      </w:r>
      <w:r w:rsidR="004C57BF" w:rsidRPr="00636F71">
        <w:t xml:space="preserve"> </w:t>
      </w:r>
      <w:r w:rsidR="005815F5" w:rsidRPr="00636F71">
        <w:t xml:space="preserve">scale), this value must be converted into </w:t>
      </w:r>
      <w:r w:rsidR="00AE4923" w:rsidRPr="00636F71">
        <w:t>a</w:t>
      </w:r>
      <w:r w:rsidR="005815F5" w:rsidRPr="00636F71">
        <w:t xml:space="preserve"> </w:t>
      </w:r>
      <w:r w:rsidR="00AE4923" w:rsidRPr="00636F71">
        <w:t>categorical response</w:t>
      </w:r>
      <w:r w:rsidR="005815F5" w:rsidRPr="00636F71">
        <w:t xml:space="preserve">, </w:t>
      </w:r>
      <w:r w:rsidR="00B51A48" w:rsidRPr="00636F71">
        <w:t xml:space="preserve">such </w:t>
      </w:r>
      <w:r w:rsidR="005815F5" w:rsidRPr="00636F71">
        <w:t>claiming that we are “very confident</w:t>
      </w:r>
      <w:r w:rsidR="006F7A06" w:rsidRPr="00636F71">
        <w:t>,</w:t>
      </w:r>
      <w:r w:rsidR="005815F5" w:rsidRPr="00636F71">
        <w:t>”</w:t>
      </w:r>
      <w:r w:rsidR="006F7A06" w:rsidRPr="00636F71">
        <w:t xml:space="preserve"> or</w:t>
      </w:r>
      <w:r w:rsidR="00DE22A2" w:rsidRPr="00636F71">
        <w:t xml:space="preserve"> </w:t>
      </w:r>
      <w:r w:rsidR="00B51A48" w:rsidRPr="00636F71">
        <w:t xml:space="preserve">we feel “unsure”. </w:t>
      </w:r>
      <w:r w:rsidR="00C912B8" w:rsidRPr="00636F71">
        <w:t>See Figure 1 for a visual depiction.</w:t>
      </w:r>
      <w:r w:rsidR="005A785C" w:rsidRPr="005A785C">
        <w:rPr>
          <w:noProof/>
        </w:rPr>
        <w:t xml:space="preserve"> </w:t>
      </w:r>
    </w:p>
    <w:p w14:paraId="4062927F" w14:textId="77777777" w:rsidR="005A785C" w:rsidRDefault="005A785C" w:rsidP="005A785C">
      <w:pPr>
        <w:spacing w:line="240" w:lineRule="auto"/>
        <w:ind w:firstLine="0"/>
        <w:jc w:val="both"/>
        <w:rPr>
          <w:noProof/>
        </w:rPr>
      </w:pPr>
    </w:p>
    <w:p w14:paraId="406DAA0D" w14:textId="54FB1BB3" w:rsidR="00DB7C6A" w:rsidRDefault="005A785C" w:rsidP="005A785C">
      <w:pPr>
        <w:spacing w:line="240" w:lineRule="auto"/>
        <w:ind w:firstLine="0"/>
        <w:jc w:val="both"/>
      </w:pPr>
      <w:r w:rsidRPr="005A785C">
        <w:rPr>
          <w:noProof/>
        </w:rPr>
        <w:drawing>
          <wp:inline distT="0" distB="0" distL="0" distR="0" wp14:anchorId="1098479E" wp14:editId="1693895E">
            <wp:extent cx="3285490" cy="1415415"/>
            <wp:effectExtent l="0" t="0" r="0" b="0"/>
            <wp:docPr id="14033259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2595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285490" cy="1415415"/>
                    </a:xfrm>
                    <a:prstGeom prst="rect">
                      <a:avLst/>
                    </a:prstGeom>
                  </pic:spPr>
                </pic:pic>
              </a:graphicData>
            </a:graphic>
          </wp:inline>
        </w:drawing>
      </w:r>
    </w:p>
    <w:p w14:paraId="704D9F28" w14:textId="77777777" w:rsidR="005A785C" w:rsidRDefault="005A785C" w:rsidP="005A785C">
      <w:pPr>
        <w:spacing w:line="240" w:lineRule="auto"/>
        <w:ind w:firstLine="0"/>
        <w:jc w:val="both"/>
      </w:pPr>
    </w:p>
    <w:p w14:paraId="238334D5" w14:textId="77777777" w:rsidR="005A785C" w:rsidRPr="005A785C" w:rsidRDefault="005A785C" w:rsidP="005A785C">
      <w:pPr>
        <w:spacing w:line="240" w:lineRule="auto"/>
        <w:ind w:firstLine="0"/>
        <w:rPr>
          <w:sz w:val="20"/>
          <w:szCs w:val="20"/>
        </w:rPr>
      </w:pPr>
      <w:r w:rsidRPr="005A785C">
        <w:rPr>
          <w:sz w:val="20"/>
          <w:szCs w:val="20"/>
        </w:rPr>
        <w:t xml:space="preserve">Figure 1. </w:t>
      </w:r>
      <w:r w:rsidRPr="005A785C">
        <w:rPr>
          <w:b/>
          <w:bCs/>
          <w:sz w:val="20"/>
          <w:szCs w:val="20"/>
        </w:rPr>
        <w:t>The multistep process of estimating confidence.</w:t>
      </w:r>
      <w:r w:rsidRPr="005A785C">
        <w:rPr>
          <w:sz w:val="20"/>
          <w:szCs w:val="20"/>
        </w:rPr>
        <w:t xml:space="preserve"> </w:t>
      </w:r>
    </w:p>
    <w:p w14:paraId="7B8E95F5" w14:textId="77777777" w:rsidR="005A785C" w:rsidRPr="005A785C" w:rsidRDefault="005A785C" w:rsidP="005A785C">
      <w:pPr>
        <w:spacing w:line="240" w:lineRule="auto"/>
        <w:ind w:firstLine="0"/>
        <w:rPr>
          <w:sz w:val="20"/>
          <w:szCs w:val="20"/>
        </w:rPr>
      </w:pPr>
      <w:r w:rsidRPr="005A785C">
        <w:rPr>
          <w:sz w:val="20"/>
          <w:szCs w:val="20"/>
        </w:rPr>
        <w:t xml:space="preserve">Internal signals of the reliability of a decision (e.g., perceptual noise, fluency, etc.) are stored as a scaled value (e.g., a probability of being correct, self-consistency), that is then interpreted relative to the required response format. The formula in box 2 is adapted from Pouget et al. </w:t>
      </w:r>
      <w:r w:rsidRPr="005A785C">
        <w:rPr>
          <w:sz w:val="20"/>
          <w:szCs w:val="20"/>
        </w:rPr>
        <w:fldChar w:fldCharType="begin"/>
      </w:r>
      <w:r w:rsidRPr="005A785C">
        <w:rPr>
          <w:sz w:val="20"/>
          <w:szCs w:val="20"/>
        </w:rPr>
        <w:instrText xml:space="preserve"> ADDIN ZOTERO_ITEM CSL_CITATION {"citationID":"UMP6ru2R","properties":{"formattedCitation":"\\super 2\\nosupersub{}","plainCitation":"2","noteIndex":0},"citationItems":[{"id":298,"uris":["http://zotero.org/users/3750895/items/2IQGUQ8T"],"itemData":{"id":298,"type":"article-journal","abstract":"When facing uncertainty, adaptive behavioral strategies demand that the brain performs probabilistic computations. In this probabilistic framework, the notion of certainty and confidence would appear to be closely related, so much so that it is tempting to conclude that these two concepts are one and the same. We argue that there are computational reasons to distinguish between these two concepts. Specifically, we propose that confidence should be defined as the probability that a decision or a proposition, overt or covert, is correct given the evidence, a critical quantity in complex sequential decisions. We suggest that the term certainty should be reserved to refer to the encoding of all other probability distributions over sensory and cognitive variables. We also discuss strategies for studying the neural codes for confidence and certainty and argue that clear definitions of neural codes are essential to understanding the relative contributions of various cortical areas to decision making.","container-title":"Nature neuroscience","DOI":"10.1038/nn.4240","ISSN":"1097-6256","journalAbbreviation":"Nat Neurosci","note":"PMID: 26906503\nPMCID: PMC5378479","page":"366-374","source":"PubMed Central","title":"Confidence and certainty: distinct probabilistic quantities for different goals","title-short":"Confidence and certainty","volume":"19","author":[{"family":"Pouget","given":"Alexandre"},{"family":"Drugowitsch","given":"Jan"},{"family":"Kepecs","given":"Adam"}],"issued":{"date-parts":[["2016",3]]}}}],"schema":"https://github.com/citation-style-language/schema/raw/master/csl-citation.json"} </w:instrText>
      </w:r>
      <w:r w:rsidRPr="005A785C">
        <w:rPr>
          <w:sz w:val="20"/>
          <w:szCs w:val="20"/>
        </w:rPr>
        <w:fldChar w:fldCharType="separate"/>
      </w:r>
      <w:r w:rsidRPr="005A785C">
        <w:rPr>
          <w:sz w:val="20"/>
          <w:szCs w:val="20"/>
          <w:vertAlign w:val="superscript"/>
        </w:rPr>
        <w:t>2</w:t>
      </w:r>
      <w:r w:rsidRPr="005A785C">
        <w:rPr>
          <w:sz w:val="20"/>
          <w:szCs w:val="20"/>
        </w:rPr>
        <w:fldChar w:fldCharType="end"/>
      </w:r>
      <w:r w:rsidRPr="005A785C">
        <w:rPr>
          <w:sz w:val="20"/>
          <w:szCs w:val="20"/>
        </w:rPr>
        <w:t>, which computes the probability that the decision was correct (</w:t>
      </w:r>
      <w:r w:rsidRPr="005A785C">
        <w:rPr>
          <w:i/>
          <w:iCs/>
          <w:sz w:val="20"/>
          <w:szCs w:val="20"/>
        </w:rPr>
        <w:t>z</w:t>
      </w:r>
      <w:r w:rsidRPr="005A785C">
        <w:rPr>
          <w:sz w:val="20"/>
          <w:szCs w:val="20"/>
        </w:rPr>
        <w:t xml:space="preserve"> = </w:t>
      </w:r>
      <w:r w:rsidRPr="005A785C">
        <w:rPr>
          <w:i/>
          <w:iCs/>
          <w:sz w:val="20"/>
          <w:szCs w:val="20"/>
        </w:rPr>
        <w:t>k</w:t>
      </w:r>
      <w:r w:rsidRPr="005A785C">
        <w:rPr>
          <w:sz w:val="20"/>
          <w:szCs w:val="20"/>
        </w:rPr>
        <w:t xml:space="preserve">), given that the observer chose option </w:t>
      </w:r>
      <w:r w:rsidRPr="005A785C">
        <w:rPr>
          <w:i/>
          <w:iCs/>
          <w:sz w:val="20"/>
          <w:szCs w:val="20"/>
        </w:rPr>
        <w:t>k</w:t>
      </w:r>
      <w:r w:rsidRPr="005A785C">
        <w:rPr>
          <w:sz w:val="20"/>
          <w:szCs w:val="20"/>
        </w:rPr>
        <w:t xml:space="preserve"> based on the input </w:t>
      </w:r>
      <w:r w:rsidRPr="005A785C">
        <w:rPr>
          <w:i/>
          <w:iCs/>
          <w:sz w:val="20"/>
          <w:szCs w:val="20"/>
        </w:rPr>
        <w:t>I</w:t>
      </w:r>
      <w:r w:rsidRPr="005A785C">
        <w:rPr>
          <w:sz w:val="20"/>
          <w:szCs w:val="20"/>
        </w:rPr>
        <w:t>.</w:t>
      </w:r>
    </w:p>
    <w:p w14:paraId="5D0FD286" w14:textId="77777777" w:rsidR="005A785C" w:rsidRPr="006679C2" w:rsidRDefault="005A785C" w:rsidP="005A785C">
      <w:pPr>
        <w:spacing w:line="240" w:lineRule="auto"/>
        <w:ind w:firstLine="0"/>
        <w:jc w:val="both"/>
      </w:pPr>
    </w:p>
    <w:p w14:paraId="682C8C63" w14:textId="291D7196" w:rsidR="006679C2" w:rsidRPr="00636F71" w:rsidRDefault="001F703F" w:rsidP="005A785C">
      <w:pPr>
        <w:spacing w:line="240" w:lineRule="auto"/>
        <w:ind w:firstLine="0"/>
        <w:jc w:val="both"/>
      </w:pPr>
      <w:r w:rsidRPr="00636F71">
        <w:tab/>
      </w:r>
      <w:r w:rsidR="00300845" w:rsidRPr="00636F71">
        <w:t xml:space="preserve">Something akin to this process exists for every decision we make: </w:t>
      </w:r>
      <w:r w:rsidR="001C286E" w:rsidRPr="00636F71">
        <w:t xml:space="preserve">we estimate confidence when deciding how many things we see </w:t>
      </w:r>
      <w:r w:rsidR="00EB7588" w:rsidRPr="00636F71">
        <w:fldChar w:fldCharType="begin"/>
      </w:r>
      <w:r w:rsidR="002137B9" w:rsidRPr="00636F71">
        <w:instrText xml:space="preserve"> ADDIN ZOTERO_ITEM CSL_CITATION {"citationID":"ZDLVB2cU","properties":{"formattedCitation":"\\super 9,10\\nosupersub{}","plainCitation":"9,10","noteIndex":0},"citationItems":[{"id":46,"uris":["http://zotero.org/users/3750895/items/JF48VRHT"],"itemData":{"id":46,"type":"article-journal","abstract":"Metaperception is the self-monitoring and self-control of one’s own perception. Perceptual confidence is the prototypical example of metaperception. Perceptual confidence refers to the ability to judge whether a perceptual decision is correct. We argue that metaperception is not limited to confidence but includes other judgments such as the estimation of familiarity and the aesthetic experience of sensory events. Perceptual confidence has recently received a surge of interests due in particular to the design of careful psychophysical experiments and powerful computational models. In psychophysics, the use of confidence ratings is the dominant methodology, but other paradigms are available, including the confidence forced choice. In this latter paradigm, participants are presented with two stimuli, make perceptual decisions about these stimuli, and then choose which decision is more likely to be correct. One benefit of confidence forced choice is that it disregards confidence biases to focus on confidence sensitivity. Confidence forced choice might also be a paradigm that will allow us to establish whether confidence is estimated serially or in parallel to the perceptual decision.","container-title":"Perception","DOI":"10.1177/0301006620928010","ISSN":"0301-0066","journalAbbreviation":"Perception","language":"en","note":"publisher: SAGE Publications Ltd STM","page":"616-635","source":"SAGE Journals","title":"Confidence Forced-Choice and Other Metaperceptual Tasks","volume":"49","author":[{"family":"Mamassian","given":"Pascal"}],"issued":{"date-parts":[["2020",6,1]]}}},{"id":847,"uris":["http://zotero.org/users/3750895/items/CXDI4M38"],"itemData":{"id":847,"type":"article-journal","container-title":"Memoirs of the National Academy of Sciences","DOI":"10.1093/mind/os-XI.41.128-a","page":"77-83","title":"On small differences in sensation","volume":"3","author":[{"family":"Pierce","given":"Charles S."},{"family":"Jastrow","given":"Joseph"}],"issued":{"date-parts":[["1884"]]}}}],"schema":"https://github.com/citation-style-language/schema/raw/master/csl-citation.json"} </w:instrText>
      </w:r>
      <w:r w:rsidR="00EB7588" w:rsidRPr="00636F71">
        <w:fldChar w:fldCharType="separate"/>
      </w:r>
      <w:r w:rsidR="002137B9" w:rsidRPr="00636F71">
        <w:rPr>
          <w:vertAlign w:val="superscript"/>
        </w:rPr>
        <w:t>9,10</w:t>
      </w:r>
      <w:r w:rsidR="00EB7588" w:rsidRPr="00636F71">
        <w:fldChar w:fldCharType="end"/>
      </w:r>
      <w:r w:rsidR="001C286E" w:rsidRPr="00636F71">
        <w:t xml:space="preserve">, how well we remember something </w:t>
      </w:r>
      <w:r w:rsidR="004145EB" w:rsidRPr="00636F71">
        <w:fldChar w:fldCharType="begin"/>
      </w:r>
      <w:r w:rsidR="002137B9" w:rsidRPr="00636F71">
        <w:instrText xml:space="preserve"> ADDIN ZOTERO_ITEM CSL_CITATION {"citationID":"6euQVTx1","properties":{"formattedCitation":"\\super 11\\nosupersub{}","plainCitation":"11","noteIndex":0},"citationItems":[{"id":851,"uris":["http://zotero.org/users/3750895/items/5MJ2ME4C"],"itemData":{"id":851,"type":"article-journal","abstract":"This chapter focuses on research program, providing a description of a theoretical framework that has evolved out of metamemory research, followed by a few remarks about the methodology. Research in metamemory is initiated by the paradoxical findings that people can accurately predict their subsequent likelihood of recognizing nonrecallable items and that they can quickly and accurately decide-on the basis of no more than a cursory search through memory-that they will not retrieve particular sought after items. Those findings lead to develop a methodology based on psychophysical methods that are used to empirically investigate people's feeling of knowing. The results of the experiments convinced that for dealing with only a part of a complex metacognitive system and to account adequately for feeling-of-knowing phenomena, a larger perspective was needed. This eventuated in the present theoretical framework that emphasizes the role of control and monitoring processes. The embedding of the feeling of knowing in a richer framework helped to dissipate the paradoxical nature of the feeling of knowing. The chapter discusses that today there are many capable, active investigators and a wealth of solid empirical findings.","container-title":"Psychology of Learning and Motivation","DOI":"10.1016/S0079-7421(08)60053-5","language":"en","page":"125-173","source":"ScienceDirect","title":"Metamemory: A theoretical framework and new findings","title-short":"Metamemory","volume":"26","author":[{"family":"Nelson","given":"Thomas O."},{"family":"Narens","given":"Louis"}],"issued":{"date-parts":[["1990",1,1]]}}}],"schema":"https://github.com/citation-style-language/schema/raw/master/csl-citation.json"} </w:instrText>
      </w:r>
      <w:r w:rsidR="004145EB" w:rsidRPr="00636F71">
        <w:fldChar w:fldCharType="separate"/>
      </w:r>
      <w:r w:rsidR="002137B9" w:rsidRPr="00636F71">
        <w:rPr>
          <w:vertAlign w:val="superscript"/>
        </w:rPr>
        <w:t>11</w:t>
      </w:r>
      <w:r w:rsidR="004145EB" w:rsidRPr="00636F71">
        <w:fldChar w:fldCharType="end"/>
      </w:r>
      <w:r w:rsidR="001C286E" w:rsidRPr="00636F71">
        <w:t xml:space="preserve">, </w:t>
      </w:r>
      <w:r w:rsidR="004145EB" w:rsidRPr="00636F71">
        <w:t xml:space="preserve">what food we value more </w:t>
      </w:r>
      <w:r w:rsidR="004145EB" w:rsidRPr="00636F71">
        <w:fldChar w:fldCharType="begin"/>
      </w:r>
      <w:r w:rsidR="002137B9" w:rsidRPr="00636F71">
        <w:instrText xml:space="preserve"> ADDIN ZOTERO_ITEM CSL_CITATION {"citationID":"nFt7grJC","properties":{"formattedCitation":"\\super 12\\nosupersub{}","plainCitation":"12","noteIndex":0},"citationItems":[{"id":908,"uris":["http://zotero.org/users/3750895/items/VJF8DCFS"],"itemData":{"id":908,"type":"article-journal","abstract":"Decisions are never perfect, with confidence in one's choices fluctuating over time. How subjective confidence and valuation of choice options interact at the level of brain and behavior is unknown. Using a dynamic model of the decision process, we show that confidence reflects the evolution of a decision variable over time, explaining the observed relation between confidence, value, accuracy and reaction time. As predicted by our dynamic model, we show that a functional magnetic resonance imaging signal in human ventromedial prefrontal cortex (vmPFC) reflects both value comparison and confidence in the value comparison process. Crucially, individuals varied in how they related confidence to accuracy, allowing us to show that this introspective ability is predicted by a measure of functional connectivity between vmPFC and rostrolateral prefrontal cortex. Our findings provide a mechanistic link between noise in value comparison and metacognitive awareness of choice, enabling us both to want and to express knowledge of what we want.","container-title":"Nature Neuroscience","DOI":"10.1038/nn.3279","ISSN":"1546-1726","journalAbbreviation":"Nat. Neurosci.","language":"eng","note":"PMID: 23222911\nPMCID: PMC3786394","page":"105-110","source":"PubMed","title":"Confidence in value-based choice","volume":"16","author":[{"family":"De Martino","given":"Benedetto"},{"family":"Fleming","given":"Stephen M."},{"family":"Garrett","given":"Neil"},{"family":"Dolan","given":"Raymond J."}],"issued":{"date-parts":[["2013",1]]}}}],"schema":"https://github.com/citation-style-language/schema/raw/master/csl-citation.json"} </w:instrText>
      </w:r>
      <w:r w:rsidR="004145EB" w:rsidRPr="00636F71">
        <w:fldChar w:fldCharType="separate"/>
      </w:r>
      <w:r w:rsidR="002137B9" w:rsidRPr="00636F71">
        <w:rPr>
          <w:vertAlign w:val="superscript"/>
        </w:rPr>
        <w:t>12</w:t>
      </w:r>
      <w:r w:rsidR="004145EB" w:rsidRPr="00636F71">
        <w:fldChar w:fldCharType="end"/>
      </w:r>
      <w:r w:rsidR="004145EB" w:rsidRPr="00636F71">
        <w:t>,</w:t>
      </w:r>
      <w:r w:rsidR="001C286E" w:rsidRPr="00636F71">
        <w:t xml:space="preserve"> and more.</w:t>
      </w:r>
      <w:r w:rsidR="005815F5" w:rsidRPr="00636F71">
        <w:t xml:space="preserve"> </w:t>
      </w:r>
      <w:r w:rsidR="005E518A" w:rsidRPr="00636F71">
        <w:t xml:space="preserve">Is “confidence” </w:t>
      </w:r>
      <w:r w:rsidR="00B51A48" w:rsidRPr="00636F71">
        <w:t xml:space="preserve">a </w:t>
      </w:r>
      <w:r w:rsidR="005E518A" w:rsidRPr="00636F71">
        <w:t>singular, general process across domains</w:t>
      </w:r>
      <w:r w:rsidRPr="00636F71">
        <w:t xml:space="preserve"> (e.g., perception and memory)</w:t>
      </w:r>
      <w:r w:rsidR="005E518A" w:rsidRPr="00636F71">
        <w:t xml:space="preserve">, or is it estimated through mechanisms </w:t>
      </w:r>
      <w:r w:rsidR="00B51A48" w:rsidRPr="00636F71">
        <w:t>that differ across</w:t>
      </w:r>
      <w:r w:rsidR="005E518A" w:rsidRPr="00636F71">
        <w:t xml:space="preserve"> </w:t>
      </w:r>
      <w:r w:rsidR="00B51A48" w:rsidRPr="00636F71">
        <w:t xml:space="preserve">cognitive </w:t>
      </w:r>
      <w:r w:rsidR="005E518A" w:rsidRPr="00636F71">
        <w:t xml:space="preserve">domains? </w:t>
      </w:r>
      <w:bookmarkStart w:id="7" w:name="_Hlk213240778"/>
      <w:r w:rsidR="00554E24" w:rsidRPr="00636F71">
        <w:t>One possibility is that c</w:t>
      </w:r>
      <w:r w:rsidR="005815F5" w:rsidRPr="00636F71">
        <w:t xml:space="preserve">onfidence </w:t>
      </w:r>
      <w:r w:rsidR="005E518A" w:rsidRPr="00636F71">
        <w:t>is singular</w:t>
      </w:r>
      <w:r w:rsidR="005815F5" w:rsidRPr="00636F71">
        <w:t xml:space="preserve">: we might attend </w:t>
      </w:r>
      <w:r w:rsidR="00300845" w:rsidRPr="00636F71">
        <w:t>to similar</w:t>
      </w:r>
      <w:r w:rsidR="005815F5" w:rsidRPr="00636F71">
        <w:t xml:space="preserve"> internal signals, </w:t>
      </w:r>
      <w:r w:rsidR="009547B8" w:rsidRPr="00636F71">
        <w:t xml:space="preserve">estimate them as identical units, and </w:t>
      </w:r>
      <w:r w:rsidR="005E518A" w:rsidRPr="00636F71">
        <w:t xml:space="preserve">externalize </w:t>
      </w:r>
      <w:r w:rsidR="009547B8" w:rsidRPr="00636F71">
        <w:t xml:space="preserve">them equally well </w:t>
      </w:r>
      <w:r w:rsidR="005815F5" w:rsidRPr="00636F71">
        <w:t>no matter wh</w:t>
      </w:r>
      <w:r w:rsidR="009547B8" w:rsidRPr="00636F71">
        <w:t>at type of decision we are making</w:t>
      </w:r>
      <w:r w:rsidR="005815F5" w:rsidRPr="00636F71">
        <w:t>. Alternatively, some or all parts of this process might work distinctly across domains</w:t>
      </w:r>
      <w:r w:rsidR="00752E3F" w:rsidRPr="00636F71">
        <w:t xml:space="preserve"> </w:t>
      </w:r>
      <w:r w:rsidR="00752E3F" w:rsidRPr="00636F71">
        <w:fldChar w:fldCharType="begin"/>
      </w:r>
      <w:r w:rsidR="002137B9" w:rsidRPr="00636F71">
        <w:instrText xml:space="preserve"> ADDIN ZOTERO_ITEM CSL_CITATION {"citationID":"MUld1qMn","properties":{"formattedCitation":"\\super 13,14\\nosupersub{}","plainCitation":"13,14","noteIndex":0},"citationItems":[{"id":2219,"uris":["http://zotero.org/users/3750895/items/6WLME85I"],"itemData":{"id":2219,"type":"article-journal","abstract":"Despite many research efforts dedicated toward deciphering the functional architecture underlying metacognition, it is still unclear if there is a common metacognitive resource for different functional requirements. Here, using laboratory measures of metacognition across several domains in a large sample (N = 155), we examined whether metacognitive ability is determined by universal or modular processes, and whether 'online' laboratory measures are related to 'offline' self-report measures of real-world metacognition. Trial-by-trial ratings of confidence were collected in pairs of tasks tapping into the domains of visual perception and episodic memory, whereas in the attention-to-action domain, one task obtained trial-by-trial confidence ratings and the other signal-dependent measures of error awareness. Relationships between metacognitive efficiency scores across paradigms and domains were assessed using a combination of correlational and latent variable approaches. The results point to a mixture of domain-general (unity) and domain-specific (diversity) components. Specifically, Bayesian correlation estimates of metacognitive efficiency as well as confirmatory factor analysis of interdomain correlations suggested metacognition about perceptual judgments to be mostly domain-specific, whereas convergent indications for interrelations between metacognition in the domains of attention-to-action and memory implied the coexistence of partly specialized metacognitive subsystems. Notably, offline measures of metacognition represented online metacognitive bias rather than online metacognitive efficiency, underscoring prevalent skepticism whether self-report questionnaires provide a useful proxy in metacognition research, as they appear susceptible to potentially unreliable introspections and memory distortions. Overall, our results indicate a constitution of both universal and specialized parts for task-based metacognition. (PsycInfo Database Record (c) 2022 APA, all rights reserved)","archive_location":"2022-50432-001","container-title":"Journal of Experimental Psychology: General","DOI":"10.1037/xge0001197.supp","ISSN":"0096-3445","issue":"10","journalAbbreviation":"Journal of Experimental Psychology: General","note":"publisher: American Psychological Association","page":"2396-2417","source":"EBSCOhost","title":"Unity and diversity of metacognition","volume":"151","author":[{"family":"Lehmann","given":"Mirko"},{"family":"Hagen","given":"Jana"},{"family":"Ettinger","given":"Ulrich"}],"issued":{"date-parts":[["2022",10]]}}},{"id":2264,"uris":["http://zotero.org/users/3750895/items/B7MNKJD2"],"itemData":{"id":2264,"type":"article-journal","abstract":"Engaging in metacognition (evaluating, controlling, and representing cognitive states) is paramount for efficient behaviour. In this Review, we examine different types of cognitive architectures that might be at play when people provide metacognitive judgements in the domains of memory and perception. Building upon this conceptual framework, we review evidence supporting and challenging domain-general metacognition. We also discuss commonalities in metacognition across domains, focusing on the influence of decisional processes on metacognitive judgements. We emphasize the challenges of isolating metacognitive processes and how these challenges influence conclusions regarding the domain generality of metacognition, including in clinical conditions that are hypothesized to have metacognitive impairments. Finally, we give an overview of ‘adecisional’ metacognition: evaluations made outside the context of a decisional process. We find no evidence for a strong form of domain generality but outline how such an architecture could be identified in future research.","container-title":"Nature Reviews Psychology","DOI":"10.1038/s44159-023-00245-1","ISSN":"2731-0574","journalAbbreviation":"Nat Rev Psychol","language":"en","license":"2023 Springer Nature America, Inc.","note":"publisher: Nature Publishing Group","page":"1-16","source":"www.nature.com","title":"Towards a common conceptual space for metacognition in perception and memory","author":[{"family":"Mazancieux","given":"Audrey"},{"family":"Pereira","given":"Michael"},{"family":"Faivre","given":"Nathan"},{"family":"Mamassian","given":"Pascal"},{"family":"Moulin","given":"Chris J. A."},{"family":"Souchay","given":"Céline"}],"issued":{"date-parts":[["2023",11,17]]}}}],"schema":"https://github.com/citation-style-language/schema/raw/master/csl-citation.json"} </w:instrText>
      </w:r>
      <w:r w:rsidR="00752E3F" w:rsidRPr="00636F71">
        <w:fldChar w:fldCharType="separate"/>
      </w:r>
      <w:r w:rsidR="002137B9" w:rsidRPr="00636F71">
        <w:rPr>
          <w:vertAlign w:val="superscript"/>
        </w:rPr>
        <w:t>13,14</w:t>
      </w:r>
      <w:r w:rsidR="00752E3F" w:rsidRPr="00636F71">
        <w:fldChar w:fldCharType="end"/>
      </w:r>
      <w:r w:rsidR="009547B8" w:rsidRPr="00636F71">
        <w:t>. For example,</w:t>
      </w:r>
      <w:r w:rsidR="005815F5" w:rsidRPr="00636F71">
        <w:t xml:space="preserve"> we might attend to </w:t>
      </w:r>
      <w:r w:rsidR="009547B8" w:rsidRPr="00636F71">
        <w:t xml:space="preserve">very </w:t>
      </w:r>
      <w:r w:rsidR="005815F5" w:rsidRPr="00636F71">
        <w:t>different signals for</w:t>
      </w:r>
      <w:r w:rsidR="00292350" w:rsidRPr="00636F71">
        <w:t xml:space="preserve"> </w:t>
      </w:r>
      <w:r w:rsidR="005815F5" w:rsidRPr="00636F71">
        <w:t xml:space="preserve">memory versus perception, </w:t>
      </w:r>
      <w:r w:rsidR="009547B8" w:rsidRPr="00636F71">
        <w:t xml:space="preserve">use different units for each, or </w:t>
      </w:r>
      <w:r w:rsidR="005815F5" w:rsidRPr="00636F71">
        <w:t xml:space="preserve">believe that we are poor at memory but excellent at perception even when </w:t>
      </w:r>
      <w:r w:rsidR="00292350" w:rsidRPr="00636F71">
        <w:t xml:space="preserve">our skill </w:t>
      </w:r>
      <w:r w:rsidR="005D7522" w:rsidRPr="00636F71">
        <w:t xml:space="preserve">level </w:t>
      </w:r>
      <w:r w:rsidR="00292350" w:rsidRPr="00636F71">
        <w:t xml:space="preserve">is </w:t>
      </w:r>
      <w:r w:rsidR="005D7522" w:rsidRPr="00636F71">
        <w:t xml:space="preserve">actually </w:t>
      </w:r>
      <w:r w:rsidR="00292350" w:rsidRPr="00636F71">
        <w:t>equivalent</w:t>
      </w:r>
      <w:r w:rsidR="005815F5" w:rsidRPr="00636F71">
        <w:t>.</w:t>
      </w:r>
      <w:bookmarkEnd w:id="7"/>
      <w:r w:rsidR="005815F5" w:rsidRPr="00636F71">
        <w:t xml:space="preserve"> </w:t>
      </w:r>
      <w:r w:rsidR="00682B1A" w:rsidRPr="00636F71">
        <w:t xml:space="preserve">Memory and perception are two especially popular domains for comparing confidence because </w:t>
      </w:r>
      <w:r w:rsidR="006F7A06" w:rsidRPr="00636F71">
        <w:t xml:space="preserve">of the long history of </w:t>
      </w:r>
      <w:r w:rsidR="00C912B8" w:rsidRPr="00636F71">
        <w:t>investigation</w:t>
      </w:r>
      <w:r w:rsidR="006F7A06" w:rsidRPr="00636F71">
        <w:t xml:space="preserve"> in </w:t>
      </w:r>
      <w:r w:rsidR="00B51A48" w:rsidRPr="00636F71">
        <w:t xml:space="preserve">each of them </w:t>
      </w:r>
      <w:r w:rsidR="00C912B8" w:rsidRPr="00636F71">
        <w:fldChar w:fldCharType="begin"/>
      </w:r>
      <w:r w:rsidR="002137B9" w:rsidRPr="00636F71">
        <w:instrText xml:space="preserve"> ADDIN ZOTERO_ITEM CSL_CITATION {"citationID":"3Ik9tMKx","properties":{"formattedCitation":"\\super 10,15\\nosupersub{}","plainCitation":"10,15","noteIndex":0},"citationItems":[{"id":2638,"uris":["http://zotero.org/users/3750895/items/EW6AWXHQ"],"itemData":{"id":2638,"type":"article-journal","abstract":"To evaluate the accuracy of feeling-of-knowing experiences 2 investigations are reported. Both experiments (Ns of 22 and 16, respectively) show the phenomenon to be a relatively accurate indicator of memory storage, as measured by the ability of Ss to predict recognition failures and successes for items they cannot recall. The results are discussed in terms of the utility of a memory-monitoring process for the efficient functioning of a fallible storage and retrieval system. (PsycINFO Database Record (c) 2016 APA, all rights reserved)","container-title":"Journal of Educational Psychology","DOI":"10.1037/h0022263","ISSN":"1939-2176","issue":"4","note":"publisher-place: US\npublisher: American Psychological Association","page":"208-216","source":"APA PsycNet","title":"Memory and the feeling-of-knowing experience","volume":"56","author":[{"family":"Hart","given":"J. T."}],"issued":{"date-parts":[["1965"]]}}},{"id":847,"uris":["http://zotero.org/users/3750895/items/CXDI4M38"],"itemData":{"id":847,"type":"article-journal","container-title":"Memoirs of the National Academy of Sciences","DOI":"10.1093/mind/os-XI.41.128-a","page":"77-83","title":"On small differences in sensation","volume":"3","author":[{"family":"Pierce","given":"Charles S."},{"family":"Jastrow","given":"Joseph"}],"issued":{"date-parts":[["1884"]]}}}],"schema":"https://github.com/citation-style-language/schema/raw/master/csl-citation.json"} </w:instrText>
      </w:r>
      <w:r w:rsidR="00C912B8" w:rsidRPr="00636F71">
        <w:fldChar w:fldCharType="separate"/>
      </w:r>
      <w:r w:rsidR="002137B9" w:rsidRPr="00636F71">
        <w:rPr>
          <w:vertAlign w:val="superscript"/>
        </w:rPr>
        <w:t>10,15</w:t>
      </w:r>
      <w:r w:rsidR="00C912B8" w:rsidRPr="00636F71">
        <w:fldChar w:fldCharType="end"/>
      </w:r>
      <w:r w:rsidR="006F7A06" w:rsidRPr="00636F71">
        <w:t>.</w:t>
      </w:r>
    </w:p>
    <w:p w14:paraId="20307D50" w14:textId="71E15D66" w:rsidR="002412C4" w:rsidRPr="00636F71" w:rsidRDefault="005E518A" w:rsidP="005A785C">
      <w:pPr>
        <w:spacing w:line="240" w:lineRule="auto"/>
        <w:ind w:firstLine="720"/>
        <w:jc w:val="both"/>
      </w:pPr>
      <w:bookmarkStart w:id="8" w:name="_Hlk213247563"/>
      <w:r w:rsidRPr="00636F71">
        <w:t xml:space="preserve">To study similarities and differences across domains of confidence, researchers </w:t>
      </w:r>
      <w:r w:rsidR="007B3724" w:rsidRPr="00636F71">
        <w:t xml:space="preserve">primarily </w:t>
      </w:r>
      <w:r w:rsidRPr="00636F71">
        <w:t xml:space="preserve">rely on </w:t>
      </w:r>
      <w:r w:rsidR="002560A0" w:rsidRPr="00636F71">
        <w:t xml:space="preserve">correlations in </w:t>
      </w:r>
      <w:r w:rsidR="00410CB7" w:rsidRPr="00636F71">
        <w:t xml:space="preserve">three </w:t>
      </w:r>
      <w:r w:rsidRPr="00636F71">
        <w:t>individual difference</w:t>
      </w:r>
      <w:r w:rsidR="00410CB7" w:rsidRPr="00636F71">
        <w:t xml:space="preserve"> measures</w:t>
      </w:r>
      <w:r w:rsidRPr="00636F71">
        <w:t xml:space="preserve"> </w:t>
      </w:r>
      <w:r w:rsidR="00590886" w:rsidRPr="00636F71">
        <w:t>o</w:t>
      </w:r>
      <w:r w:rsidR="00B02D0C" w:rsidRPr="00636F71">
        <w:t>f</w:t>
      </w:r>
      <w:r w:rsidRPr="00636F71">
        <w:t xml:space="preserve"> confidence </w:t>
      </w:r>
      <w:r w:rsidR="00C912B8" w:rsidRPr="00636F71">
        <w:fldChar w:fldCharType="begin"/>
      </w:r>
      <w:r w:rsidR="008D3E4C">
        <w:instrText xml:space="preserve"> ADDIN ZOTERO_ITEM CSL_CITATION {"citationID":"aO0tMXZk","properties":{"formattedCitation":"\\super 13,16\\uc0\\u8211{}19\\nosupersub{}","plainCitation":"13,16–19","noteIndex":0},"citationItems":[{"id":2219,"uris":["http://zotero.org/users/3750895/items/6WLME85I"],"itemData":{"id":2219,"type":"article-journal","abstract":"Despite many research efforts dedicated toward deciphering the functional architecture underlying metacognition, it is still unclear if there is a common metacognitive resource for different functional requirements. Here, using laboratory measures of metacognition across several domains in a large sample (N = 155), we examined whether metacognitive ability is determined by universal or modular processes, and whether 'online' laboratory measures are related to 'offline' self-report measures of real-world metacognition. Trial-by-trial ratings of confidence were collected in pairs of tasks tapping into the domains of visual perception and episodic memory, whereas in the attention-to-action domain, one task obtained trial-by-trial confidence ratings and the other signal-dependent measures of error awareness. Relationships between metacognitive efficiency scores across paradigms and domains were assessed using a combination of correlational and latent variable approaches. The results point to a mixture of domain-general (unity) and domain-specific (diversity) components. Specifically, Bayesian correlation estimates of metacognitive efficiency as well as confirmatory factor analysis of interdomain correlations suggested metacognition about perceptual judgments to be mostly domain-specific, whereas convergent indications for interrelations between metacognition in the domains of attention-to-action and memory implied the coexistence of partly specialized metacognitive subsystems. Notably, offline measures of metacognition represented online metacognitive bias rather than online metacognitive efficiency, underscoring prevalent skepticism whether self-report questionnaires provide a useful proxy in metacognition research, as they appear susceptible to potentially unreliable introspections and memory distortions. Overall, our results indicate a constitution of both universal and specialized parts for task-based metacognition. (PsycInfo Database Record (c) 2022 APA, all rights reserved)","archive_location":"2022-50432-001","container-title":"Journal of Experimental Psychology: General","DOI":"10.1037/xge0001197.supp","ISSN":"0096-3445","issue":"10","journalAbbreviation":"Journal of Experimental Psychology: General","note":"publisher: American Psychological Association","page":"2396-2417","source":"EBSCOhost","title":"Unity and diversity of metacognition","volume":"151","author":[{"family":"Lehmann","given":"Mirko"},{"family":"Hagen","given":"Jana"},{"family":"Ettinger","given":"Ulrich"}],"issued":{"date-parts":[["2022",10]]}}},{"id":2626,"uris":["http://zotero.org/users/3750895/items/KZ8EQDEJ"],"itemData":{"id":2626,"type":"article-journal","abstract":"Metacognition is the ability to monitor and control one’s own cognitive processes, with higher order mechanisms assessing the performance of lower level cognitive operations to determine subjective confidence. An open question is whether metacognitive capacity is domain-general, akin to a conductor overseeing various sections of an orchestra, or whether it is inherently coupled with each domain, resembling a collection of specialized musical directors for each instrument group. Previous studies attempting to address this question have suffered from methodological drawbacks, such as a lack of control over cognitive performance and low statistical power. In this confirmatory, preregistered study, we addressed this gap by testing metacognitive ability in visual perceptual, episodic memory, and semantic memory domains using a newly developed adaptive “trivia” task spanning judgments about nutrition and global economics. We found substantive correlations in metacognitive bias and efficiency across domains, even when controlling for cognitive ability, suggesting up to 15%–20% shared variance in metacognition across different modalities. Surprisingly, however, we found the lowest correlation in metacognition between the two semantic memory domains, despite these tasks being matched on performance and surface-level features. Our results broadly support the existence of a metacognitive “g-factor,” excluding several important methodological confounds, while also highlighting the importance of further research into interindividual differences in metacognitive priors which may explain the lower correlations between the different semantic memory domains. (PsycInfo Database Record (c) 2025 APA, all rights reserved)","container-title":"Journal of Experimental Psychology: Learning, Memory, and Cognition","DOI":"10.1037/xlm0001462","ISSN":"1939-1285","issue":"10","note":"publisher-place: US\npublisher: American Psychological Association","page":"1594-1605","source":"APA PsycNet","title":"Domain generality in metacognitive ability: A confirmatory study across visual perception, episodic memory, and semantic memory","title-short":"Domain generality in metacognitive ability","volume":"51","author":[{"family":"Lund","given":"Astrid Emilie"},{"family":"Corrêa","given":"Camile Maria Costa"},{"family":"Fardo","given":"Francesca"},{"family":"Fleming","given":"Stephen M."},{"family":"Allen","given":"Micah G."}],"issued":{"date-parts":[["2025"]]}}},{"id":83,"uris":["http://zotero.org/users/3750895/items/LZZDTY3M"],"itemData":{"id":83,"type":"article-journal","abstract":"Is metacognition a general resource shared across domains? Previous research has documented consistent biases in judgments across tasks. In contrast, there is debate regarding the domain generality or the domain specificity of the ability to discriminate between correct and incorrect answers (metacognitive sensitivity) because most previous work has documented nonsignificant correlations across domains. However, such null findings may be due to low statistical power and differences in task structure or performance, thereby masking a latent domain generality in metacognition. We examined across-domain correlations in confidence level and sensitivity in a large sample (N = 181). Participants performed 4 2-alternative forced-choice tasks (episodic memory, semantic memory, executive function, and visual perception) with trial-by-trial confidence judgments. We found significant correlations in average confidence level across tasks. By applying a hierarchical Bayesian model to estimate cross-task covariance, we found five out 6 cross-task correlations in metacognitive efficiency (meta-d'/d') were significant, even for pairs of tasks in which first-order performance was not correlated. This suggests that at least some components of metacognitive efficiency in retrospective confidence are domain general. (PsycINFO Database Record (c) 2020 APA, all rights reserved).","container-title":"Journal of Experimental Psychology: General","DOI":"10.1037/xge0000746","ISSN":"1939-2222","journalAbbreviation":"J Exp Psychol Gen","language":"eng","note":"PMID: 32191079","page":"1788-1799","source":"PubMed","title":"Is there a G factor for metacognition? Correlations in retrospective metacognitive sensitivity across tasks","title-short":"Is there a G factor for metacognition?","volume":"149","author":[{"family":"Mazancieux","given":"Audrey"},{"family":"Fleming","given":"Stephen M."},{"family":"Souchay","given":"Céline"},{"family":"Moulin","given":"Chris J. A."}],"issued":{"date-parts":[["2020",3,19]]}}},{"id":2389,"uris":["http://zotero.org/users/3750895/items/PUQQP9FA"],"itemData":{"id":2389,"type":"article","abstract":"Metacognition involves second-order judgments about first-order ones. It remains unclear whether an individual's confidence in being correct is generated by the same system across tasks (domain-generality) or whether it is computed independently in the context of each task (domain-specificity). Previous studies have focused on correlations across several tasks, yet evidence is mixed and more complex models of domain-generality were not taken into account. Analyzing three studies (N between 253 and 547 participants), we found a fixed pattern of cross-task correlations for both metacognitive bias and metacognitive efficiency. We used confirmatory factor analyses to investigate the existence of general processes. We found evidence for a weak domain-generality with a metacognitive module for perceptual tasks and another for cognitive tasks. From our structural equation modeling analyses with metacognitive bias, we concluded that previous work found spurious correlations in metacognitive efficiency between these perceptual and cognitive modules likely due to metacognitive bias.","DOI":"10.31219/osf.io/v6psx","language":"en-us","publisher":"OSF","source":"OSF Preprints","title":"Confidence in decision making across domains and modalities: evidence from three studies","title-short":"Confidence in decision making across domains and modalities","URL":"https://osf.io/v6psx","author":[{"family":"Mazancieux","given":"Audrey"},{"family":"Hat","given":"Katarzyna"},{"family":"Rutiku","given":"Renate"},{"family":"Wierzchoń","given":"Michał"},{"family":"Sandberg","given":"Kristian"}],"accessed":{"date-parts":[["2024",4,12]]},"issued":{"date-parts":[["2024",4,8]]}}},{"id":64,"uris":["http://zotero.org/users/3750895/items/VBZUH2MC"],"itemData":{"id":64,"type":"article-journal","abstract":"Metacognition is the capacity to evaluate and control one's own cognitive processes. Metacognition operates over a range of cognitive domains, such as perception and memory, but the neurocognitive architecture supporting this ability remains controversial. Is metacognition enabled by a common, domain-general resource that is recruited to evaluate performance on a variety of tasks? Or is metacognition reliant on domain-specific modules? This article reviews recent literature on the domain-generality of human metacognition, drawing on evidence from individual differences and neuroimaging. A meta-analysis of behavioral studies found that perceptual metacognitive ability was correlated across different sensory modalities, but found no correlation between metacognition of perception and memory. However, evidence for domain-generality from behavioral data may suffer from a lack of power to identify correlations across model parameters indexing metacognitive efficiency. Neuroimaging data provide a complementary perspective on the domain-generality of metacognition, revealing co-existence of neural signatures that are common and distinct across tasks. We suggest that such an architecture may be appropriate for \"tagging\" generic feelings of confidence with domain-specific information, in turn forming the basis for priors about self-ability and modulation of higher-order behavioral control.","container-title":"Personality Neuroscience","DOI":"10.1017/pen.2018.16","ISSN":"2513-9886","journalAbbreviation":"Personal Neurosci","language":"eng","note":"PMID: 30411087\nPMCID: PMC6217996","page":"e17","source":"PubMed","title":"Human metacognition across domains: insights from individual differences and neuroimaging","title-short":"Human metacognition across domains","volume":"1","author":[{"family":"Rouault","given":"Marion"},{"family":"McWilliams","given":"Andrew"},{"family":"Allen","given":"Micah G."},{"family":"Fleming","given":"Stephen M."}],"issued":{"date-parts":[["2018",8,10]]}}}],"schema":"https://github.com/citation-style-language/schema/raw/master/csl-citation.json"} </w:instrText>
      </w:r>
      <w:r w:rsidR="00C912B8" w:rsidRPr="00636F71">
        <w:fldChar w:fldCharType="separate"/>
      </w:r>
      <w:r w:rsidR="002137B9" w:rsidRPr="00636F71">
        <w:rPr>
          <w:vertAlign w:val="superscript"/>
        </w:rPr>
        <w:t>13,16–19</w:t>
      </w:r>
      <w:r w:rsidR="00C912B8" w:rsidRPr="00636F71">
        <w:fldChar w:fldCharType="end"/>
      </w:r>
      <w:r w:rsidRPr="00636F71">
        <w:t xml:space="preserve">. </w:t>
      </w:r>
      <w:r w:rsidRPr="00D35B02">
        <w:t>Confidence sensitivity</w:t>
      </w:r>
      <w:r w:rsidRPr="00636F71">
        <w:rPr>
          <w:i/>
          <w:iCs/>
        </w:rPr>
        <w:t xml:space="preserve"> </w:t>
      </w:r>
      <w:r w:rsidRPr="00636F71">
        <w:t>refers to</w:t>
      </w:r>
      <w:r w:rsidR="006D3CE6" w:rsidRPr="00636F71">
        <w:t xml:space="preserve"> how well individuals</w:t>
      </w:r>
      <w:r w:rsidR="00712611" w:rsidRPr="00636F71">
        <w:t>’ confidence can</w:t>
      </w:r>
      <w:r w:rsidR="006D3CE6" w:rsidRPr="00636F71">
        <w:t xml:space="preserve"> distinguish between their correct and incorrect </w:t>
      </w:r>
      <w:r w:rsidR="00712611" w:rsidRPr="00636F71">
        <w:t xml:space="preserve">decisions, </w:t>
      </w:r>
      <w:r w:rsidR="005D7522" w:rsidRPr="00636F71">
        <w:t xml:space="preserve">potentially </w:t>
      </w:r>
      <w:r w:rsidR="00712611" w:rsidRPr="00636F71">
        <w:t xml:space="preserve">telling apart </w:t>
      </w:r>
      <w:r w:rsidR="005D7522" w:rsidRPr="00636F71">
        <w:t xml:space="preserve">even the </w:t>
      </w:r>
      <w:r w:rsidR="00712611" w:rsidRPr="00636F71">
        <w:t>smalle</w:t>
      </w:r>
      <w:r w:rsidR="005D7522" w:rsidRPr="00636F71">
        <w:t>st</w:t>
      </w:r>
      <w:r w:rsidR="00712611" w:rsidRPr="00636F71">
        <w:t xml:space="preserve"> differences in signal quality </w:t>
      </w:r>
      <w:r w:rsidR="005D7522" w:rsidRPr="00636F71">
        <w:t>between these types of decision situations</w:t>
      </w:r>
      <w:r w:rsidR="006D3CE6" w:rsidRPr="00636F71">
        <w:t>.</w:t>
      </w:r>
      <w:r w:rsidRPr="00636F71">
        <w:t xml:space="preserve"> </w:t>
      </w:r>
      <w:bookmarkStart w:id="9" w:name="_Hlk213247683"/>
      <w:r w:rsidR="00B02D0C" w:rsidRPr="00D35B02">
        <w:t>Confidence efficiency</w:t>
      </w:r>
      <w:r w:rsidR="00B02D0C" w:rsidRPr="00636F71">
        <w:t xml:space="preserve"> expands this idea by correcting </w:t>
      </w:r>
      <w:r w:rsidR="006D3CE6" w:rsidRPr="00636F71">
        <w:t xml:space="preserve">confidence sensitivity </w:t>
      </w:r>
      <w:r w:rsidR="00B02D0C" w:rsidRPr="00636F71">
        <w:t xml:space="preserve">for actual task </w:t>
      </w:r>
      <w:r w:rsidR="00026877" w:rsidRPr="00636F71">
        <w:t>accuracy</w:t>
      </w:r>
      <w:r w:rsidR="006D3CE6" w:rsidRPr="00636F71">
        <w:t xml:space="preserve">, yielding a metric of how informative confidence is given </w:t>
      </w:r>
      <w:r w:rsidR="00456945" w:rsidRPr="00636F71">
        <w:t>one’s</w:t>
      </w:r>
      <w:r w:rsidR="006D3CE6" w:rsidRPr="00636F71">
        <w:t xml:space="preserve"> </w:t>
      </w:r>
      <w:r w:rsidR="00026877" w:rsidRPr="00636F71">
        <w:t>performance level</w:t>
      </w:r>
      <w:r w:rsidR="00B02D0C" w:rsidRPr="00636F71">
        <w:t xml:space="preserve">. </w:t>
      </w:r>
      <w:r w:rsidR="007336E9" w:rsidRPr="00636F71">
        <w:t>To illustrate</w:t>
      </w:r>
      <w:r w:rsidR="00026877" w:rsidRPr="00636F71">
        <w:t xml:space="preserve"> this point</w:t>
      </w:r>
      <w:r w:rsidR="007336E9" w:rsidRPr="00636F71">
        <w:t xml:space="preserve">, imagine one </w:t>
      </w:r>
      <w:r w:rsidR="00DA743C" w:rsidRPr="00636F71">
        <w:t>individual</w:t>
      </w:r>
      <w:r w:rsidR="007336E9" w:rsidRPr="00636F71">
        <w:t xml:space="preserve"> who performs well on a task and reports higher confidence on correct answers than incorrect answers (good sensitivity), and a second </w:t>
      </w:r>
      <w:r w:rsidR="00DA743C" w:rsidRPr="00636F71">
        <w:t>individual</w:t>
      </w:r>
      <w:r w:rsidR="007336E9" w:rsidRPr="00636F71">
        <w:t xml:space="preserve"> who performs poorly on a task but still reports higher confidence on correct answers than incorrect answers. This second </w:t>
      </w:r>
      <w:r w:rsidR="00DA743C" w:rsidRPr="00636F71">
        <w:t>individual</w:t>
      </w:r>
      <w:r w:rsidR="007336E9" w:rsidRPr="00636F71">
        <w:t xml:space="preserve"> would have higher confidence efficiency because they managed to demonstrate good sensitivity despite having less reliable information to work with. </w:t>
      </w:r>
      <w:bookmarkEnd w:id="9"/>
      <w:r w:rsidR="007336E9" w:rsidRPr="00D35B02">
        <w:t xml:space="preserve">Confidence </w:t>
      </w:r>
      <w:r w:rsidRPr="00D35B02">
        <w:t>bias</w:t>
      </w:r>
      <w:r w:rsidRPr="00636F71">
        <w:t xml:space="preserve">, on the other hand, is about </w:t>
      </w:r>
      <w:r w:rsidR="004D69E4" w:rsidRPr="00636F71">
        <w:t xml:space="preserve">individual differences in </w:t>
      </w:r>
      <w:r w:rsidRPr="00636F71">
        <w:t xml:space="preserve">the externalization process, </w:t>
      </w:r>
      <w:r w:rsidR="00712611" w:rsidRPr="00636F71">
        <w:t>where</w:t>
      </w:r>
      <w:r w:rsidRPr="00636F71">
        <w:t xml:space="preserve"> some people may consistently claim to be over-confident even given poor internal signals </w:t>
      </w:r>
      <w:r w:rsidRPr="00636F71">
        <w:fldChar w:fldCharType="begin"/>
      </w:r>
      <w:r w:rsidR="002137B9" w:rsidRPr="00636F71">
        <w:instrText xml:space="preserve"> ADDIN ZOTERO_ITEM CSL_CITATION {"citationID":"Tw1MtoDG","properties":{"formattedCitation":"\\super 20\\nosupersub{}","plainCitation":"20","noteIndex":0},"citationItems":[{"id":448,"uris":["http://zotero.org/users/3750895/items/ZZSYVC8R"],"itemData":{"id":448,"type":"article-journal","abstract":"Europe PMC is an archive of life sciences journal literature., Unskilled and unaware of it: how difficulties in recognizing one's own incompetence lead to inflated self-assessments.","container-title":"Journal of Personality and Social Psychology","DOI":"10.1037//0022-3514.77.6.1121","ISSN":"0022-3514, 1939-1315","journalAbbreviation":"J Pers Soc Psychol","language":"English","note":"PMID: 10626367","page":"1121-1134","source":"europepmc.org","title":"Unskilled and unaware of it: how difficulties in recognizing one's own incompetence lead to inflated self-assessments.","title-short":"Unskilled and unaware of it","volume":"77","author":[{"family":"Kruger","given":"J"},{"family":"Dunning","given":"D"}],"issued":{"date-parts":[["1999",12,1]]}}}],"schema":"https://github.com/citation-style-language/schema/raw/master/csl-citation.json"} </w:instrText>
      </w:r>
      <w:r w:rsidRPr="00636F71">
        <w:fldChar w:fldCharType="separate"/>
      </w:r>
      <w:r w:rsidR="002137B9" w:rsidRPr="00636F71">
        <w:rPr>
          <w:vertAlign w:val="superscript"/>
        </w:rPr>
        <w:t>20</w:t>
      </w:r>
      <w:r w:rsidRPr="00636F71">
        <w:fldChar w:fldCharType="end"/>
      </w:r>
      <w:r w:rsidRPr="00636F71">
        <w:t>.</w:t>
      </w:r>
    </w:p>
    <w:bookmarkEnd w:id="8"/>
    <w:p w14:paraId="7C033843" w14:textId="127F7897" w:rsidR="001C286E" w:rsidRPr="00636F71" w:rsidRDefault="004D69E4" w:rsidP="005A785C">
      <w:pPr>
        <w:spacing w:line="240" w:lineRule="auto"/>
        <w:ind w:firstLine="720"/>
        <w:jc w:val="both"/>
      </w:pPr>
      <w:r w:rsidRPr="00636F71">
        <w:t xml:space="preserve">If confidence is a singular domain, we should expect that </w:t>
      </w:r>
      <w:r w:rsidRPr="00D35B02">
        <w:t>sensitivity</w:t>
      </w:r>
      <w:r w:rsidR="002412C4" w:rsidRPr="00D35B02">
        <w:t>, efficiency,</w:t>
      </w:r>
      <w:r w:rsidRPr="00D35B02">
        <w:t xml:space="preserve"> </w:t>
      </w:r>
      <w:r w:rsidRPr="00FA6344">
        <w:t xml:space="preserve">and/or </w:t>
      </w:r>
      <w:r w:rsidRPr="00D35B02">
        <w:t>bias</w:t>
      </w:r>
      <w:r w:rsidRPr="00636F71">
        <w:rPr>
          <w:i/>
          <w:iCs/>
        </w:rPr>
        <w:t xml:space="preserve"> </w:t>
      </w:r>
      <w:r w:rsidRPr="00636F71">
        <w:t xml:space="preserve">show strong correlations across domains, since any imprecision in the confidence extraction and reporting process will yield correlated </w:t>
      </w:r>
      <w:r w:rsidR="00A442B6" w:rsidRPr="00636F71">
        <w:t>individual differences</w:t>
      </w:r>
      <w:r w:rsidRPr="00636F71">
        <w:t xml:space="preserve"> across domains. </w:t>
      </w:r>
      <w:bookmarkStart w:id="10" w:name="_Hlk213240840"/>
      <w:r w:rsidR="001C286E" w:rsidRPr="00636F71">
        <w:t xml:space="preserve">But the evidence </w:t>
      </w:r>
      <w:r w:rsidRPr="00636F71">
        <w:t xml:space="preserve">for confidence as a singular domain </w:t>
      </w:r>
      <w:r w:rsidR="001C286E" w:rsidRPr="00636F71">
        <w:t xml:space="preserve">is </w:t>
      </w:r>
      <w:r w:rsidR="00707815" w:rsidRPr="00636F71">
        <w:t>not that straightforward</w:t>
      </w:r>
      <w:r w:rsidR="001C286E" w:rsidRPr="00636F71">
        <w:t xml:space="preserve">. </w:t>
      </w:r>
      <w:bookmarkStart w:id="11" w:name="_Hlk213239990"/>
      <w:r w:rsidR="001C286E" w:rsidRPr="00636F71">
        <w:t xml:space="preserve">Correlations </w:t>
      </w:r>
      <w:r w:rsidRPr="00636F71">
        <w:t>in sensitivity</w:t>
      </w:r>
      <w:r w:rsidR="00A442B6" w:rsidRPr="00636F71">
        <w:t>, efficiency,</w:t>
      </w:r>
      <w:r w:rsidRPr="00636F71">
        <w:t xml:space="preserve"> and bias </w:t>
      </w:r>
      <w:r w:rsidR="001C286E" w:rsidRPr="00636F71">
        <w:t xml:space="preserve">are almost always found </w:t>
      </w:r>
      <w:r w:rsidR="009C0E75" w:rsidRPr="00636F71">
        <w:t xml:space="preserve">between </w:t>
      </w:r>
      <w:r w:rsidR="004E2732" w:rsidRPr="00636F71">
        <w:t xml:space="preserve">confidence estimates in </w:t>
      </w:r>
      <w:r w:rsidR="001C286E" w:rsidRPr="00636F71">
        <w:t>distinct perceptual tasks</w:t>
      </w:r>
      <w:r w:rsidR="00A442B6" w:rsidRPr="00636F71">
        <w:t xml:space="preserve"> </w:t>
      </w:r>
      <w:r w:rsidR="00A442B6" w:rsidRPr="00636F71">
        <w:fldChar w:fldCharType="begin"/>
      </w:r>
      <w:r w:rsidR="002137B9" w:rsidRPr="00636F71">
        <w:instrText xml:space="preserve"> ADDIN ZOTERO_ITEM CSL_CITATION {"citationID":"BxbFo6MC","properties":{"formattedCitation":"\\super 19\\nosupersub{}","plainCitation":"19","noteIndex":0},"citationItems":[{"id":64,"uris":["http://zotero.org/users/3750895/items/VBZUH2MC"],"itemData":{"id":64,"type":"article-journal","abstract":"Metacognition is the capacity to evaluate and control one's own cognitive processes. Metacognition operates over a range of cognitive domains, such as perception and memory, but the neurocognitive architecture supporting this ability remains controversial. Is metacognition enabled by a common, domain-general resource that is recruited to evaluate performance on a variety of tasks? Or is metacognition reliant on domain-specific modules? This article reviews recent literature on the domain-generality of human metacognition, drawing on evidence from individual differences and neuroimaging. A meta-analysis of behavioral studies found that perceptual metacognitive ability was correlated across different sensory modalities, but found no correlation between metacognition of perception and memory. However, evidence for domain-generality from behavioral data may suffer from a lack of power to identify correlations across model parameters indexing metacognitive efficiency. Neuroimaging data provide a complementary perspective on the domain-generality of metacognition, revealing co-existence of neural signatures that are common and distinct across tasks. We suggest that such an architecture may be appropriate for \"tagging\" generic feelings of confidence with domain-specific information, in turn forming the basis for priors about self-ability and modulation of higher-order behavioral control.","container-title":"Personality Neuroscience","DOI":"10.1017/pen.2018.16","ISSN":"2513-9886","journalAbbreviation":"Personal Neurosci","language":"eng","note":"PMID: 30411087\nPMCID: PMC6217996","page":"e17","source":"PubMed","title":"Human metacognition across domains: insights from individual differences and neuroimaging","title-short":"Human metacognition across domains","volume":"1","author":[{"family":"Rouault","given":"Marion"},{"family":"McWilliams","given":"Andrew"},{"family":"Allen","given":"Micah G."},{"family":"Fleming","given":"Stephen M."}],"issued":{"date-parts":[["2018",8,10]]}}}],"schema":"https://github.com/citation-style-language/schema/raw/master/csl-citation.json"} </w:instrText>
      </w:r>
      <w:r w:rsidR="00A442B6" w:rsidRPr="00636F71">
        <w:fldChar w:fldCharType="separate"/>
      </w:r>
      <w:r w:rsidR="002137B9" w:rsidRPr="00636F71">
        <w:rPr>
          <w:vertAlign w:val="superscript"/>
        </w:rPr>
        <w:t>19</w:t>
      </w:r>
      <w:r w:rsidR="00A442B6" w:rsidRPr="00636F71">
        <w:fldChar w:fldCharType="end"/>
      </w:r>
      <w:r w:rsidR="001C286E" w:rsidRPr="00636F71">
        <w:t xml:space="preserve">, such as when </w:t>
      </w:r>
      <w:r w:rsidR="009C0E75" w:rsidRPr="00636F71">
        <w:t xml:space="preserve">participants judge the </w:t>
      </w:r>
      <w:r w:rsidR="009122EF" w:rsidRPr="00636F71">
        <w:t>contrast</w:t>
      </w:r>
      <w:r w:rsidR="001C286E" w:rsidRPr="00636F71">
        <w:t xml:space="preserve"> versus </w:t>
      </w:r>
      <w:r w:rsidR="009C0E75" w:rsidRPr="00636F71">
        <w:t xml:space="preserve">the </w:t>
      </w:r>
      <w:r w:rsidR="009122EF" w:rsidRPr="00636F71">
        <w:t>orientation</w:t>
      </w:r>
      <w:r w:rsidR="00707815" w:rsidRPr="00636F71">
        <w:t xml:space="preserve"> of Gabor patches</w:t>
      </w:r>
      <w:r w:rsidR="001C286E" w:rsidRPr="00636F71">
        <w:t xml:space="preserve"> </w:t>
      </w:r>
      <w:r w:rsidR="00AD5627" w:rsidRPr="00636F71">
        <w:fldChar w:fldCharType="begin"/>
      </w:r>
      <w:r w:rsidR="00636F71" w:rsidRPr="00636F71">
        <w:instrText xml:space="preserve"> ADDIN ZOTERO_ITEM CSL_CITATION {"citationID":"q7sJuatx","properties":{"formattedCitation":"\\super 21\\nosupersub{}","plainCitation":"21","noteIndex":0},"citationItems":[{"id":439,"uris":["http://zotero.org/users/3750895/items/I3BWQRFE"],"itemData":{"id":439,"type":"article-journal","abstract":"Europe PMC is an archive of life sciences journal literature., Relating inter-individual differences in metacognitive performance on different perceptual tasks.","container-title":"Consciousness and Cognition","DOI":"10.1016/j.concog.2010.12.011","ISSN":"1053-8100, 1090-2376","journalAbbreviation":"Conscious Cogn","language":"English","note":"PMID: 21256051","page":"1787-1792","source":"europepmc.org","title":"Relating inter-individual differences in metacognitive performance on different perceptual tasks.","volume":"20","author":[{"family":"Song","given":"Chen"},{"family":"Kanai","given":"Ryota"},{"family":"Fleming","given":"Stephen"},{"family":"Weil","given":"Ramona S."},{"family":"Schwarzkopf","given":"D Samuel"},{"family":"Rees","given":"Geraint"}],"issued":{"date-parts":[["2011",1,20]]}}}],"schema":"https://github.com/citation-style-language/schema/raw/master/csl-citation.json"} </w:instrText>
      </w:r>
      <w:r w:rsidR="00AD5627" w:rsidRPr="00636F71">
        <w:fldChar w:fldCharType="separate"/>
      </w:r>
      <w:r w:rsidR="00636F71" w:rsidRPr="00636F71">
        <w:rPr>
          <w:vertAlign w:val="superscript"/>
        </w:rPr>
        <w:t>21</w:t>
      </w:r>
      <w:r w:rsidR="00AD5627" w:rsidRPr="00636F71">
        <w:fldChar w:fldCharType="end"/>
      </w:r>
      <w:r w:rsidR="00636F71" w:rsidRPr="00636F71">
        <w:t xml:space="preserve"> (see also </w:t>
      </w:r>
      <w:r w:rsidR="00636F71" w:rsidRPr="00636F71">
        <w:fldChar w:fldCharType="begin"/>
      </w:r>
      <w:r w:rsidR="00636F71" w:rsidRPr="00636F71">
        <w:instrText xml:space="preserve"> ADDIN ZOTERO_ITEM CSL_CITATION {"citationID":"Mjl8DKXO","properties":{"formattedCitation":"\\super 22\\nosupersub{}","plainCitation":"22","noteIndex":0},"citationItems":[{"id":2671,"uris":["http://zotero.org/users/3750895/items/9LEWVG2R"],"itemData":{"id":2671,"type":"article-journal","abstract":"It has been debated whether children's metacognitive monitoring and control processes rely on a general resource or whether metacognitive processes are task specific. Moreover, findings about the extent to which metacognitive processes are related to first-order task performance are mixed. The current study aimed to uncover the relationships among children's monitoring (discrimination between correct and incorrect responses), control (accurate withdrawal of wrong answers), and performance across three memory-based learning tasks: Kanji learning, text comprehension, and secret code learning. All tasks consisted of a study phase, a test phase, monitoring (confidence judgments), and control (maintaining/withdrawing responses). Participants were 325 children (151 second graders [Mage = 8.12 years] and 174 fourth graders [Mage = 10.20 years]). Confirmatory factor analyses showed that a model in which monitoring and control loaded on a joint factor and performance on a separate factor provided the best fit to the data. Fourth graders had better monitoring and control accuracy than second graders. However, the factor structure of metacognition was similar for both age groups, contradictory to the assumption that metacognition generalizes across tasks as children grow older. After accounting for task-specific processes, monitoring and control skills for language-based memory tasks appear to be generalizable in middle childhood. In sum, children's monitoring and control for three separate memory tasks appear to reflect a unitary metacognition-for-memory factor related to, but distinguishable from, performance.","container-title":"Journal of Experimental Child Psychology","DOI":"10.1016/j.jecp.2023.105857","ISSN":"1096-0457","journalAbbreviation":"J Exp Child Psychol","language":"eng","note":"PMID: 38241971","page":"105857","source":"PubMed","title":"The structure of metacognition in middle childhood: Evidence for a unitary metacognition-for-memory factor","title-short":"The structure of metacognition in middle childhood","volume":"241","author":[{"family":"Loon","given":"Mariëtte","non-dropping-particle":"van"},{"family":"Orth","given":"Ulrich"},{"family":"Roebers","given":"Claudia"}],"issued":{"date-parts":[["2024",5]]}}}],"schema":"https://github.com/citation-style-language/schema/raw/master/csl-citation.json"} </w:instrText>
      </w:r>
      <w:r w:rsidR="00636F71" w:rsidRPr="00636F71">
        <w:fldChar w:fldCharType="separate"/>
      </w:r>
      <w:r w:rsidR="00636F71" w:rsidRPr="00636F71">
        <w:rPr>
          <w:vertAlign w:val="superscript"/>
        </w:rPr>
        <w:t>22</w:t>
      </w:r>
      <w:r w:rsidR="00636F71" w:rsidRPr="00636F71">
        <w:fldChar w:fldCharType="end"/>
      </w:r>
      <w:r w:rsidR="00636F71" w:rsidRPr="00636F71">
        <w:t xml:space="preserve"> for similar evidence within </w:t>
      </w:r>
      <w:r w:rsidR="00636F71" w:rsidRPr="00636F71">
        <w:lastRenderedPageBreak/>
        <w:t>distinct memory tasks)</w:t>
      </w:r>
      <w:r w:rsidR="001C286E" w:rsidRPr="00636F71">
        <w:t xml:space="preserve">. </w:t>
      </w:r>
      <w:bookmarkEnd w:id="11"/>
      <w:r w:rsidR="001C286E" w:rsidRPr="00636F71">
        <w:t>But correlations</w:t>
      </w:r>
      <w:r w:rsidR="00554E24" w:rsidRPr="00636F71">
        <w:t xml:space="preserve"> across domains</w:t>
      </w:r>
      <w:r w:rsidR="00A442B6" w:rsidRPr="00636F71">
        <w:t xml:space="preserve"> like memory and perception</w:t>
      </w:r>
      <w:r w:rsidR="001C286E" w:rsidRPr="00636F71">
        <w:t xml:space="preserve"> </w:t>
      </w:r>
      <w:r w:rsidR="00E02C8E" w:rsidRPr="00636F71">
        <w:t>are in</w:t>
      </w:r>
      <w:r w:rsidR="001C286E" w:rsidRPr="00636F71">
        <w:t>consistent</w:t>
      </w:r>
      <w:r w:rsidR="00E02C8E" w:rsidRPr="00636F71">
        <w:t xml:space="preserve"> </w:t>
      </w:r>
      <w:r w:rsidR="001C286E" w:rsidRPr="00636F71">
        <w:t>and small</w:t>
      </w:r>
      <w:r w:rsidR="00A442B6" w:rsidRPr="00636F71">
        <w:t>, generally showing common metacognitive bias but not sensitivity or efficiency in these domains</w:t>
      </w:r>
      <w:r w:rsidR="001C286E" w:rsidRPr="00636F71">
        <w:t xml:space="preserve"> </w:t>
      </w:r>
      <w:r w:rsidR="00AD5627" w:rsidRPr="00636F71">
        <w:fldChar w:fldCharType="begin"/>
      </w:r>
      <w:r w:rsidR="008D3E4C">
        <w:instrText xml:space="preserve"> ADDIN ZOTERO_ITEM CSL_CITATION {"citationID":"pROUogqM","properties":{"formattedCitation":"\\super 13,17,18\\nosupersub{}","plainCitation":"13,17,18","noteIndex":0},"citationItems":[{"id":2219,"uris":["http://zotero.org/users/3750895/items/6WLME85I"],"itemData":{"id":2219,"type":"article-journal","abstract":"Despite many research efforts dedicated toward deciphering the functional architecture underlying metacognition, it is still unclear if there is a common metacognitive resource for different functional requirements. Here, using laboratory measures of metacognition across several domains in a large sample (N = 155), we examined whether metacognitive ability is determined by universal or modular processes, and whether 'online' laboratory measures are related to 'offline' self-report measures of real-world metacognition. Trial-by-trial ratings of confidence were collected in pairs of tasks tapping into the domains of visual perception and episodic memory, whereas in the attention-to-action domain, one task obtained trial-by-trial confidence ratings and the other signal-dependent measures of error awareness. Relationships between metacognitive efficiency scores across paradigms and domains were assessed using a combination of correlational and latent variable approaches. The results point to a mixture of domain-general (unity) and domain-specific (diversity) components. Specifically, Bayesian correlation estimates of metacognitive efficiency as well as confirmatory factor analysis of interdomain correlations suggested metacognition about perceptual judgments to be mostly domain-specific, whereas convergent indications for interrelations between metacognition in the domains of attention-to-action and memory implied the coexistence of partly specialized metacognitive subsystems. Notably, offline measures of metacognition represented online metacognitive bias rather than online metacognitive efficiency, underscoring prevalent skepticism whether self-report questionnaires provide a useful proxy in metacognition research, as they appear susceptible to potentially unreliable introspections and memory distortions. Overall, our results indicate a constitution of both universal and specialized parts for task-based metacognition. (PsycInfo Database Record (c) 2022 APA, all rights reserved)","archive_location":"2022-50432-001","container-title":"Journal of Experimental Psychology: General","DOI":"10.1037/xge0001197.supp","ISSN":"0096-3445","issue":"10","journalAbbreviation":"Journal of Experimental Psychology: General","note":"publisher: American Psychological Association","page":"2396-2417","source":"EBSCOhost","title":"Unity and diversity of metacognition","volume":"151","author":[{"family":"Lehmann","given":"Mirko"},{"family":"Hagen","given":"Jana"},{"family":"Ettinger","given":"Ulrich"}],"issued":{"date-parts":[["2022",10]]}}},{"id":83,"uris":["http://zotero.org/users/3750895/items/LZZDTY3M"],"itemData":{"id":83,"type":"article-journal","abstract":"Is metacognition a general resource shared across domains? Previous research has documented consistent biases in judgments across tasks. In contrast, there is debate regarding the domain generality or the domain specificity of the ability to discriminate between correct and incorrect answers (metacognitive sensitivity) because most previous work has documented nonsignificant correlations across domains. However, such null findings may be due to low statistical power and differences in task structure or performance, thereby masking a latent domain generality in metacognition. We examined across-domain correlations in confidence level and sensitivity in a large sample (N = 181). Participants performed 4 2-alternative forced-choice tasks (episodic memory, semantic memory, executive function, and visual perception) with trial-by-trial confidence judgments. We found significant correlations in average confidence level across tasks. By applying a hierarchical Bayesian model to estimate cross-task covariance, we found five out 6 cross-task correlations in metacognitive efficiency (meta-d'/d') were significant, even for pairs of tasks in which first-order performance was not correlated. This suggests that at least some components of metacognitive efficiency in retrospective confidence are domain general. (PsycINFO Database Record (c) 2020 APA, all rights reserved).","container-title":"Journal of Experimental Psychology: General","DOI":"10.1037/xge0000746","ISSN":"1939-2222","journalAbbreviation":"J Exp Psychol Gen","language":"eng","note":"PMID: 32191079","page":"1788-1799","source":"PubMed","title":"Is there a G factor for metacognition? Correlations in retrospective metacognitive sensitivity across tasks","title-short":"Is there a G factor for metacognition?","volume":"149","author":[{"family":"Mazancieux","given":"Audrey"},{"family":"Fleming","given":"Stephen M."},{"family":"Souchay","given":"Céline"},{"family":"Moulin","given":"Chris J. A."}],"issued":{"date-parts":[["2020",3,19]]}}},{"id":2389,"uris":["http://zotero.org/users/3750895/items/PUQQP9FA"],"itemData":{"id":2389,"type":"article","abstract":"Metacognition involves second-order judgments about first-order ones. It remains unclear whether an individual's confidence in being correct is generated by the same system across tasks (domain-generality) or whether it is computed independently in the context of each task (domain-specificity). Previous studies have focused on correlations across several tasks, yet evidence is mixed and more complex models of domain-generality were not taken into account. Analyzing three studies (N between 253 and 547 participants), we found a fixed pattern of cross-task correlations for both metacognitive bias and metacognitive efficiency. We used confirmatory factor analyses to investigate the existence of general processes. We found evidence for a weak domain-generality with a metacognitive module for perceptual tasks and another for cognitive tasks. From our structural equation modeling analyses with metacognitive bias, we concluded that previous work found spurious correlations in metacognitive efficiency between these perceptual and cognitive modules likely due to metacognitive bias.","DOI":"10.31219/osf.io/v6psx","language":"en-us","publisher":"OSF","source":"OSF Preprints","title":"Confidence in decision making across domains and modalities: evidence from three studies","title-short":"Confidence in decision making across domains and modalities","URL":"https://osf.io/v6psx","author":[{"family":"Mazancieux","given":"Audrey"},{"family":"Hat","given":"Katarzyna"},{"family":"Rutiku","given":"Renate"},{"family":"Wierzchoń","given":"Michał"},{"family":"Sandberg","given":"Kristian"}],"accessed":{"date-parts":[["2024",4,12]]},"issued":{"date-parts":[["2024",4,8]]}}}],"schema":"https://github.com/citation-style-language/schema/raw/master/csl-citation.json"} </w:instrText>
      </w:r>
      <w:r w:rsidR="00AD5627" w:rsidRPr="00636F71">
        <w:fldChar w:fldCharType="separate"/>
      </w:r>
      <w:r w:rsidR="002137B9" w:rsidRPr="00636F71">
        <w:rPr>
          <w:vertAlign w:val="superscript"/>
        </w:rPr>
        <w:t>13,17,18</w:t>
      </w:r>
      <w:r w:rsidR="00AD5627" w:rsidRPr="00636F71">
        <w:fldChar w:fldCharType="end"/>
      </w:r>
      <w:r w:rsidR="00A442B6" w:rsidRPr="00636F71">
        <w:t>.</w:t>
      </w:r>
      <w:r w:rsidR="00554E24" w:rsidRPr="00636F71">
        <w:t xml:space="preserve"> </w:t>
      </w:r>
      <w:r w:rsidR="00A442B6" w:rsidRPr="00636F71">
        <w:t xml:space="preserve">This is </w:t>
      </w:r>
      <w:r w:rsidR="00554E24" w:rsidRPr="00636F71">
        <w:t>c</w:t>
      </w:r>
      <w:r w:rsidR="001C286E" w:rsidRPr="00636F71">
        <w:t xml:space="preserve">onvergent </w:t>
      </w:r>
      <w:r w:rsidR="00554E24" w:rsidRPr="00636F71">
        <w:t xml:space="preserve">with </w:t>
      </w:r>
      <w:r w:rsidR="001C286E" w:rsidRPr="00636F71">
        <w:t>neuropsychological dissociat</w:t>
      </w:r>
      <w:r w:rsidR="00554E24" w:rsidRPr="00636F71">
        <w:t>ions for</w:t>
      </w:r>
      <w:r w:rsidR="001C286E" w:rsidRPr="00636F71">
        <w:t xml:space="preserve"> brain regions supporting confidence for memory versus perception </w:t>
      </w:r>
      <w:r w:rsidR="00AD5627" w:rsidRPr="00636F71">
        <w:fldChar w:fldCharType="begin"/>
      </w:r>
      <w:r w:rsidR="00636F71" w:rsidRPr="00636F71">
        <w:instrText xml:space="preserve"> ADDIN ZOTERO_ITEM CSL_CITATION {"citationID":"pYZIp31y","properties":{"formattedCitation":"\\super 23,24\\nosupersub{}","plainCitation":"23,24","noteIndex":0},"citationItems":[{"id":67,"uris":["http://zotero.org/users/3750895/items/ZHXDZGF8"],"itemData":{"id":67,"type":"article-journal","abstract":"Convergent evidence supports a role for anterior prefrontal cortex (PFC) in metacognition—the capacity to evaluate cognitive processes—but whether metacognition","container-title":"Brain","DOI":"10.1093/brain/awu221","ISSN":"0006-8950","journalAbbreviation":"Brain","language":"en","note":"publisher: Oxford Academic","page":"2811-2822","source":"academic.oup.com","title":"Domain-specific impairment in metacognitive accuracy following anterior prefrontal lesions","volume":"137","author":[{"family":"Fleming","given":"Stephen M."},{"family":"Ryu","given":"Jihye"},{"family":"Golfinos","given":"John G."},{"family":"Blackmon","given":"Karen E."}],"issued":{"date-parts":[["2014",10,1]]}}},{"id":444,"uris":["http://zotero.org/users/3750895/items/6367DS6M"],"itemData":{"id":444,"type":"article-journal","abstract":"Metacognition supports reflection upon and control of other cognitive processes. Despite metacognition occupying a central role in human psychology, its neural substrates remain underdetermined, partly due to study-specific differences in task domain and type of metacognitive judgement under study. It is also unclear how metacognition relates to other apparently similar abilities that depend on recursive thought such as theory of mind or mentalising. Now that neuroimaging studies of metacognition are more prevalent, we have an opportunity to characterise consistencies in neural substrates identified across different analysis types and domains. Here we used quantitative activation likelihood estimation methods to synthesise findings from 47 neuroimaging studies on metacognition, divided into categories based on the target of metacognitive evaluation (memory and decision-making), analysis type (judgement-related activation, confidence-related activation, and predictors of metacognitive sensitivity), and, for metamemory judgements, temporal focus (prospective and retrospective). A domain-general network, including medial and lateral prefrontal cortex, precuneus, and insula was associated with the level of confidence in self-performance in both decision-making and memory tasks. We found preferential engagement of right anterior dorsolateral prefrontal cortex in metadecision experiments and bilateral parahippocampal cortex in metamemory experiments. Results on metacognitive sensitivity were inconclusive, likely due to fewer studies reporting this contrast. Finally, by comparing our results to meta-analyses of mentalising, we obtain evidence for common engagement of the ventromedial and anterior dorsomedial prefrontal cortex in both metacognition and mentalising, suggesting that these regions may support second-order representations for thinking about the thoughts of oneself and others.","container-title":"Brain and Neuroscience Advances","DOI":"10.1177/2398212818810591","ISSN":"2398-2128","journalAbbreviation":"Brain and Neuroscience Advances","language":"en","page":"2398212818810591","source":"SAGE Journals","title":"Thinking about thinking: A coordinate-based meta-analysis of neuroimaging studies of metacognitive judgements","title-short":"Thinking about thinking","volume":"2","author":[{"family":"Vaccaro","given":"Anthony G."},{"family":"Fleming","given":"Stephen M."}],"issued":{"date-parts":[["2018",1,1]]}}}],"schema":"https://github.com/citation-style-language/schema/raw/master/csl-citation.json"} </w:instrText>
      </w:r>
      <w:r w:rsidR="00AD5627" w:rsidRPr="00636F71">
        <w:fldChar w:fldCharType="separate"/>
      </w:r>
      <w:r w:rsidR="00636F71" w:rsidRPr="00636F71">
        <w:rPr>
          <w:vertAlign w:val="superscript"/>
        </w:rPr>
        <w:t>23,24</w:t>
      </w:r>
      <w:r w:rsidR="00AD5627" w:rsidRPr="00636F71">
        <w:fldChar w:fldCharType="end"/>
      </w:r>
      <w:r w:rsidR="001C286E" w:rsidRPr="00636F71">
        <w:t xml:space="preserve">. This might suggest that confidence for memory versus perception are distinct processes with </w:t>
      </w:r>
      <w:r w:rsidR="00EC1912" w:rsidRPr="00636F71">
        <w:t xml:space="preserve">some </w:t>
      </w:r>
      <w:r w:rsidR="001C286E" w:rsidRPr="00636F71">
        <w:t>distinct individual difference signatures</w:t>
      </w:r>
      <w:r w:rsidR="004E2732" w:rsidRPr="00636F71">
        <w:t>, perhaps stemming from different access to uncertainty signals for the two</w:t>
      </w:r>
      <w:r w:rsidR="001B55FB" w:rsidRPr="00636F71">
        <w:t>.</w:t>
      </w:r>
      <w:bookmarkEnd w:id="10"/>
      <w:r w:rsidR="001B55FB" w:rsidRPr="00636F71">
        <w:t xml:space="preserve"> </w:t>
      </w:r>
      <w:r w:rsidR="001C286E" w:rsidRPr="00636F71">
        <w:t xml:space="preserve"> </w:t>
      </w:r>
    </w:p>
    <w:p w14:paraId="22925BA7" w14:textId="1CEF383B" w:rsidR="001C286E" w:rsidRPr="00636F71" w:rsidRDefault="001C286E" w:rsidP="005A785C">
      <w:pPr>
        <w:spacing w:line="240" w:lineRule="auto"/>
        <w:jc w:val="both"/>
      </w:pPr>
      <w:r w:rsidRPr="00636F71">
        <w:t xml:space="preserve">A second approach is to look for commensurability of confidence across domains </w:t>
      </w:r>
      <w:r w:rsidR="00785948" w:rsidRPr="00636F71">
        <w:fldChar w:fldCharType="begin"/>
      </w:r>
      <w:r w:rsidR="00636F71" w:rsidRPr="00636F71">
        <w:instrText xml:space="preserve"> ADDIN ZOTERO_ITEM CSL_CITATION {"citationID":"Nnbb4bnR","properties":{"formattedCitation":"\\super 9,25,26\\nosupersub{}","plainCitation":"9,25,26","noteIndex":0},"citationItems":[{"id":288,"uris":["http://zotero.org/users/3750895/items/JWP8HBNJ"],"itemData":{"id":288,"type":"article-journal","container-title":"PloS one","DOI":"10.1371/journal.pone.0147901","page":"e0147901","source":"Google Scholar","title":"Confidence as a common currency between vision and audition","volume":"11","author":[{"family":"De Gardelle","given":"Vincent"},{"family":"Le Corre","given":"François"},{"family":"Mamassian","given":"Pascal"}],"issued":{"date-parts":[["2016"]]}}},{"id":48,"uris":["http://zotero.org/users/3750895/items/4UWXAWEI"],"itemData":{"id":48,"type":"article-journal","container-title":"Psychological science","DOI":"10.1177/0956797614528956","page":"1286-1288","source":"Google Scholar","title":"Does confidence use a common currency across two visual tasks?","volume":"25","author":[{"family":"De Gardelle","given":"Vincent"},{"family":"Mamassian","given":"Pascal"}],"issued":{"date-parts":[["2014"]]}}},{"id":46,"uris":["http://zotero.org/users/3750895/items/JF48VRHT"],"itemData":{"id":46,"type":"article-journal","abstract":"Metaperception is the self-monitoring and self-control of one’s own perception. Perceptual confidence is the prototypical example of metaperception. Perceptual confidence refers to the ability to judge whether a perceptual decision is correct. We argue that metaperception is not limited to confidence but includes other judgments such as the estimation of familiarity and the aesthetic experience of sensory events. Perceptual confidence has recently received a surge of interests due in particular to the design of careful psychophysical experiments and powerful computational models. In psychophysics, the use of confidence ratings is the dominant methodology, but other paradigms are available, including the confidence forced choice. In this latter paradigm, participants are presented with two stimuli, make perceptual decisions about these stimuli, and then choose which decision is more likely to be correct. One benefit of confidence forced choice is that it disregards confidence biases to focus on confidence sensitivity. Confidence forced choice might also be a paradigm that will allow us to establish whether confidence is estimated serially or in parallel to the perceptual decision.","container-title":"Perception","DOI":"10.1177/0301006620928010","ISSN":"0301-0066","journalAbbreviation":"Perception","language":"en","note":"publisher: SAGE Publications Ltd STM","page":"616-635","source":"SAGE Journals","title":"Confidence Forced-Choice and Other Metaperceptual Tasks","volume":"49","author":[{"family":"Mamassian","given":"Pascal"}],"issued":{"date-parts":[["2020",6,1]]}}}],"schema":"https://github.com/citation-style-language/schema/raw/master/csl-citation.json"} </w:instrText>
      </w:r>
      <w:r w:rsidR="00785948" w:rsidRPr="00636F71">
        <w:fldChar w:fldCharType="separate"/>
      </w:r>
      <w:r w:rsidR="00636F71" w:rsidRPr="00636F71">
        <w:rPr>
          <w:vertAlign w:val="superscript"/>
        </w:rPr>
        <w:t>9,25,26</w:t>
      </w:r>
      <w:r w:rsidR="00785948" w:rsidRPr="00636F71">
        <w:fldChar w:fldCharType="end"/>
      </w:r>
      <w:r w:rsidRPr="00636F71">
        <w:t xml:space="preserve">. </w:t>
      </w:r>
      <w:r w:rsidR="00C575C8" w:rsidRPr="00636F71">
        <w:t xml:space="preserve">This approach is especially good for identifying if confidence is represented </w:t>
      </w:r>
      <w:r w:rsidR="008B68C8" w:rsidRPr="00636F71">
        <w:t xml:space="preserve">with identical </w:t>
      </w:r>
      <w:r w:rsidR="00C575C8" w:rsidRPr="00636F71">
        <w:t xml:space="preserve">units (e.g., probability of being correct), or if each domain is scaled according to </w:t>
      </w:r>
      <w:r w:rsidR="00B61A13" w:rsidRPr="00636F71">
        <w:t>its</w:t>
      </w:r>
      <w:r w:rsidR="00C575C8" w:rsidRPr="00636F71">
        <w:t xml:space="preserve"> own rules and with distinct units. </w:t>
      </w:r>
      <w:r w:rsidRPr="00636F71">
        <w:t xml:space="preserve">If confidence is represented as a </w:t>
      </w:r>
      <w:r w:rsidR="00FC6D25" w:rsidRPr="00636F71">
        <w:t xml:space="preserve">general </w:t>
      </w:r>
      <w:r w:rsidRPr="00636F71">
        <w:t xml:space="preserve">factor across domains, then it should also be easily </w:t>
      </w:r>
      <w:r w:rsidRPr="00636F71">
        <w:rPr>
          <w:i/>
          <w:iCs/>
        </w:rPr>
        <w:t>comparable</w:t>
      </w:r>
      <w:r w:rsidR="00FB3A77" w:rsidRPr="00636F71">
        <w:rPr>
          <w:i/>
          <w:iCs/>
        </w:rPr>
        <w:t xml:space="preserve">: </w:t>
      </w:r>
      <w:r w:rsidRPr="00636F71">
        <w:t>observers should be able to say</w:t>
      </w:r>
      <w:r w:rsidR="00292350" w:rsidRPr="00636F71">
        <w:t xml:space="preserve"> </w:t>
      </w:r>
      <w:r w:rsidRPr="00636F71">
        <w:t xml:space="preserve">whether they are more confident in their memory or their perceptual decision </w:t>
      </w:r>
      <w:r w:rsidR="00785948" w:rsidRPr="00636F71">
        <w:fldChar w:fldCharType="begin"/>
      </w:r>
      <w:r w:rsidR="00636F71" w:rsidRPr="00636F71">
        <w:instrText xml:space="preserve"> ADDIN ZOTERO_ITEM CSL_CITATION {"citationID":"Pm98MacL","properties":{"formattedCitation":"\\super 26\\nosupersub{}","plainCitation":"26","noteIndex":0},"citationItems":[{"id":48,"uris":["http://zotero.org/users/3750895/items/4UWXAWEI"],"itemData":{"id":48,"type":"article-journal","container-title":"Psychological science","DOI":"10.1177/0956797614528956","page":"1286-1288","source":"Google Scholar","title":"Does confidence use a common currency across two visual tasks?","volume":"25","author":[{"family":"De Gardelle","given":"Vincent"},{"family":"Mamassian","given":"Pascal"}],"issued":{"date-parts":[["2014"]]}}}],"schema":"https://github.com/citation-style-language/schema/raw/master/csl-citation.json"} </w:instrText>
      </w:r>
      <w:r w:rsidR="00785948" w:rsidRPr="00636F71">
        <w:fldChar w:fldCharType="separate"/>
      </w:r>
      <w:r w:rsidR="00636F71" w:rsidRPr="00636F71">
        <w:rPr>
          <w:vertAlign w:val="superscript"/>
        </w:rPr>
        <w:t>26</w:t>
      </w:r>
      <w:r w:rsidR="00785948" w:rsidRPr="00636F71">
        <w:fldChar w:fldCharType="end"/>
      </w:r>
      <w:r w:rsidRPr="00636F71">
        <w:t>.</w:t>
      </w:r>
      <w:r w:rsidR="00051380" w:rsidRPr="00636F71">
        <w:t xml:space="preserve"> In fact, if the two domains are on a truly </w:t>
      </w:r>
      <w:r w:rsidR="001F703F" w:rsidRPr="00636F71">
        <w:t xml:space="preserve">single </w:t>
      </w:r>
      <w:r w:rsidR="00051380" w:rsidRPr="00636F71">
        <w:t>general scale, we should be just as good at comparing confidence between two perceptual decisions as we are comparing a perceptual to a memory decision.</w:t>
      </w:r>
      <w:r w:rsidRPr="00636F71">
        <w:t xml:space="preserve"> On the other hand, if confidence is represented on entirely separable scales using </w:t>
      </w:r>
      <w:r w:rsidR="00FC6D25" w:rsidRPr="00636F71">
        <w:t>domain-specific</w:t>
      </w:r>
      <w:r w:rsidRPr="00636F71">
        <w:t xml:space="preserve"> units, then comparison would be impossible (or at least imprecise or time</w:t>
      </w:r>
      <w:r w:rsidR="00292350" w:rsidRPr="00636F71">
        <w:t>-</w:t>
      </w:r>
      <w:r w:rsidRPr="00636F71">
        <w:t xml:space="preserve">consuming </w:t>
      </w:r>
      <w:r w:rsidR="00F9303D" w:rsidRPr="00636F71">
        <w:t>given the need to further “translate” into a common metric</w:t>
      </w:r>
      <w:r w:rsidRPr="00636F71">
        <w:t xml:space="preserve">). </w:t>
      </w:r>
      <w:r w:rsidR="00D03D87" w:rsidRPr="00636F71">
        <w:t xml:space="preserve">Mirroring </w:t>
      </w:r>
      <w:r w:rsidR="00797072" w:rsidRPr="00636F71">
        <w:t xml:space="preserve">correlations, the </w:t>
      </w:r>
      <w:r w:rsidRPr="00636F71">
        <w:t>commensurability approach has broadly shown evidence for a general sense of confidence for</w:t>
      </w:r>
      <w:r w:rsidR="00D92A2B" w:rsidRPr="00636F71">
        <w:t xml:space="preserve"> different</w:t>
      </w:r>
      <w:r w:rsidRPr="00636F71">
        <w:t xml:space="preserve"> percept</w:t>
      </w:r>
      <w:r w:rsidR="00F9303D" w:rsidRPr="00636F71">
        <w:t>ual</w:t>
      </w:r>
      <w:r w:rsidR="00D92A2B" w:rsidRPr="00636F71">
        <w:t xml:space="preserve"> decisions</w:t>
      </w:r>
      <w:r w:rsidR="00636F71" w:rsidRPr="00636F71">
        <w:t>, e.g., visual versus auditory</w:t>
      </w:r>
      <w:r w:rsidRPr="00636F71">
        <w:t xml:space="preserve"> </w:t>
      </w:r>
      <w:r w:rsidR="00785948" w:rsidRPr="00636F71">
        <w:fldChar w:fldCharType="begin"/>
      </w:r>
      <w:r w:rsidR="008D3E4C">
        <w:instrText xml:space="preserve"> ADDIN ZOTERO_ITEM CSL_CITATION {"citationID":"fuIQFJ36","properties":{"formattedCitation":"\\super 25\\uc0\\u8211{}28\\nosupersub{}","plainCitation":"25–28","noteIndex":0},"citationItems":[{"id":289,"uris":["http://zotero.org/users/3750895/items/4Q2I8293"],"itemData":{"id":289,"type":"article-journal","abstract":"Visual processing is fraught with uncertainty: The visual system must attempt to estimate physical properties despite missing information and noisy mechanisms. Sometimes high visual uncertainty translates into lack of confidence in our visual perception: We are aware of not seeing well. The mechanism by which we achieve this awareness—how we assess our own visual uncertainty—is unknown, but its investigation is critical to our understanding of visual decision mechanisms. The simplest possibility is that the visual system relies on cues to uncertainty, stimulus features usually associated with visual uncertainty, like blurriness. Probabilistic models of the brain suggest a more sophisticated mechanism, in which visual uncertainty is explicitly represented as probability distributions. In two separate experiments, observers performed a visual discrimination task in which confidence could be determined by the cues available (contrast and crowding or eccentricity and masking) or by their actual performance, the latter requiring a more sophisticated mechanism than cue monitoring. Results show that observers’ confidence followed performance rather than cues, indicating that the mechanisms underlying the evaluation of visual confidence are relatively complex. This result supports probabilistic models, which imply the existence of sophisticated mechanisms for evaluating uncertainty.","container-title":"Proceedings of the National Academy of Sciences","DOI":"10.1073/pnas.1007704107","ISSN":"0027-8424, 1091-6490","journalAbbreviation":"PNAS","language":"en","note":"PMID: 21076036","page":"20834-20839","source":"www.pnas.org.ezproxy.library.ubc.ca","title":"Flexible mechanisms underlie the evaluation of visual confidence","volume":"107","author":[{"family":"Barthelmé","given":"Simon"},{"family":"Mamassian","given":"Pascal"}],"issued":{"date-parts":[["2010",11,30]]}}},{"id":288,"uris":["http://zotero.org/users/3750895/items/JWP8HBNJ"],"itemData":{"id":288,"type":"article-journal","container-title":"PloS one","DOI":"10.1371/journal.pone.0147901","page":"e0147901","source":"Google Scholar","title":"Confidence as a common currency between vision and audition","volume":"11","author":[{"family":"De Gardelle","given":"Vincent"},{"family":"Le Corre","given":"François"},{"family":"Mamassian","given":"Pascal"}],"issued":{"date-parts":[["2016"]]}}},{"id":48,"uris":["http://zotero.org/users/3750895/items/4UWXAWEI"],"itemData":{"id":48,"type":"article-journal","container-title":"Psychological science","DOI":"10.1177/0956797614528956","page":"1286-1288","source":"Google Scholar","title":"Does confidence use a common currency across two visual tasks?","volume":"25","author":[{"family":"De Gardelle","given":"Vincent"},{"family":"Mamassian","given":"Pascal"}],"issued":{"date-parts":[["2014"]]}}},{"id":2680,"uris":["http://zotero.org/users/3750895/items/8W5VC4BN","http://zotero.org/users/3750895/items/TVBVYWI7"],"itemData":{"id":2680,"type":"article-journal","abstract":"Humans can judge the quality of their perceptual decisions—an ability known as perceptual confidence. Previous work suggested that confidence can be evaluated on an abstract scale that can be sensory modality-independent or even domain-general. However, evidence is still scarce on whether confidence judgments can be directly made across visual and tactile decisions. Here, we investigated in a sample of 56 adults whether visual and tactile confidence share a common scale by measuring visual contrast and vibrotactile discrimination thresholds in a confidence-forced choice paradigm. Confidence judgments were made about the correctness of the perceptual decision between two trials involving either the same or different modalities. To estimate confidence efficiency, we compared discrimination thresholds obtained from all trials to those from trials judged to be relatively more confident. We found evidence for metaperception because higher confidence was associated with better perceptual performance in both modalities. Importantly, participants were able to judge their confidence across modalities without any costs in metaperceptual sensitivity and only minor changes in response times compared to unimodal confidence judgments. In addition, we were able to predict cross-modal confidence well from unimodal judgments. In conclusion, our findings show that perceptual confidence is computed on an abstract scale and that it can assess the quality of our decisions across sensory modalities.","container-title":"Journal of Vision","DOI":"10.1167/jov.23.5.3","ISSN":"1534-7362","issue":"5","journalAbbreviation":"Journal of Vision","page":"3","source":"Silverchair","title":"Cross-modal metacognition: Visual and tactile confidence share a common scale","title-short":"Cross-modal metacognition","volume":"23","author":[{"family":"Klever","given":"Lena"},{"family":"Beyvers","given":"Marie Christin"},{"family":"Fiehler","given":"Katja"},{"family":"Mamassian","given":"Pascal"},{"family":"Billino","given":"Jutta"}],"issued":{"date-parts":[["2023",5,4]]}}}],"schema":"https://github.com/citation-style-language/schema/raw/master/csl-citation.json"} </w:instrText>
      </w:r>
      <w:r w:rsidR="00785948" w:rsidRPr="00636F71">
        <w:fldChar w:fldCharType="separate"/>
      </w:r>
      <w:r w:rsidR="00636F71" w:rsidRPr="00636F71">
        <w:rPr>
          <w:vertAlign w:val="superscript"/>
        </w:rPr>
        <w:t>25–28</w:t>
      </w:r>
      <w:r w:rsidR="00785948" w:rsidRPr="00636F71">
        <w:fldChar w:fldCharType="end"/>
      </w:r>
      <w:r w:rsidRPr="00636F71">
        <w:t xml:space="preserve">. </w:t>
      </w:r>
      <w:r w:rsidR="00F9303D" w:rsidRPr="00636F71">
        <w:t>However,</w:t>
      </w:r>
      <w:r w:rsidRPr="00636F71">
        <w:t xml:space="preserve"> this has not</w:t>
      </w:r>
      <w:r w:rsidR="00F9303D" w:rsidRPr="00636F71">
        <w:t xml:space="preserve"> yet</w:t>
      </w:r>
      <w:r w:rsidRPr="00636F71">
        <w:t xml:space="preserve"> been extended to domains outside of perception.</w:t>
      </w:r>
    </w:p>
    <w:p w14:paraId="5E443BCB" w14:textId="2D9B8810" w:rsidR="008F1B76" w:rsidRPr="00636F71" w:rsidRDefault="001C286E" w:rsidP="005A785C">
      <w:pPr>
        <w:spacing w:line="240" w:lineRule="auto"/>
        <w:jc w:val="both"/>
      </w:pPr>
      <w:r w:rsidRPr="00636F71">
        <w:t>In the current work, we address two gaps in the current research on the structure of confidence across domains.</w:t>
      </w:r>
      <w:r w:rsidR="00B51A48" w:rsidRPr="00636F71">
        <w:t xml:space="preserve"> </w:t>
      </w:r>
      <w:r w:rsidR="008F1B76" w:rsidRPr="00636F71">
        <w:t xml:space="preserve">First, </w:t>
      </w:r>
      <w:r w:rsidR="00495498" w:rsidRPr="00636F71">
        <w:t xml:space="preserve">we investigate the possibility that the structure of confidence changes over development, </w:t>
      </w:r>
      <w:r w:rsidR="008F1B76" w:rsidRPr="00636F71">
        <w:t xml:space="preserve">inspired by findings that children’s intellectual abilities </w:t>
      </w:r>
      <w:r w:rsidR="008F1B76" w:rsidRPr="00636F71">
        <w:rPr>
          <w:i/>
          <w:iCs/>
        </w:rPr>
        <w:t xml:space="preserve">differentiate </w:t>
      </w:r>
      <w:r w:rsidR="008F1B76" w:rsidRPr="00636F71">
        <w:t xml:space="preserve">with development </w:t>
      </w:r>
      <w:r w:rsidR="008F1B76" w:rsidRPr="00636F71">
        <w:fldChar w:fldCharType="begin"/>
      </w:r>
      <w:r w:rsidR="00636F71" w:rsidRPr="00636F71">
        <w:instrText xml:space="preserve"> ADDIN ZOTERO_ITEM CSL_CITATION {"citationID":"veY2EB7J","properties":{"formattedCitation":"\\super 29,30\\nosupersub{}","plainCitation":"29,30","noteIndex":0},"citationItems":[{"id":2560,"uris":["http://zotero.org/users/3750895/items/JJFT8FHB"],"itemData":{"id":2560,"type":"article-journal","abstract":"PERFORMANCES WHICH INDICATE INTELLIGENCE ARE INTERRELATED TO PRODUCE 2 BROAD FACTORS, EACH REPRESENTING A KIND OF INTELLIGENCE. THE 1ST, CRYSTALLIZED INTELLIGENCE, INDICATES THE EXTENT OF ACCULTURATION AS IT DETERMINES HUMAN ABILITIES. THE OTHER, FLUID INTELLIGENCE, INDICATES A PATTERN OF NEURALPHYSIOLOGICAL AND INCIDENTAL LEARNING INFLUENCES. THE 2 BECOME INDEPENDENT AS DEVELOPMENT PROCEEDS FROM INFANCY TO ADULTHOOD. MEASURES OF FLUID INTELLIGENCE ARE MORE SENSITIVE INDICATORS OF BRAIN MALFUNCTION; FLUID INTELLIGENCE DECLINES WITH BRAIN DAMAGE AND AGING IN ADULTHOOD. PERFORMANCES ON ABILITY TESTS INVOLVE PROCESSES OTHER THAN INTELLIGENCE. THESE ARE ASSOCIATED WITH SENSORY MODALITY FUNCTIONS, PERHAPS INDICATE ENDOCRINE FUNCTIONS (IN SPEEDINESS), REPRESENT STRATEGIES OR STYLES OF PERFORMANCE, AND RELATE TO MOTIVATION. RESULTS IN SUPPORT OF THE THEORY ARE PRESENTED AND EVALUATED. (74 REF.) (PsycINFO Database Record (c) 2017 APA, all rights reserved)","container-title":"Psychological Review","DOI":"10.1037/h0025662","ISSN":"1939-1471","issue":"3","note":"publisher-place: US\npublisher: American Psychological Association","page":"242-259","source":"APA PsycNet","title":"Organization of abilities and the development of intelligence","volume":"75","author":[{"family":"Horn","given":"John L."}],"issued":{"date-parts":[["1968"]]}}},{"id":2558,"uris":["http://zotero.org/users/3750895/items/VP7CCUAP"],"itemData":{"id":2558,"type":"article-journal","abstract":"Despite the reliability of intelligence measures in predicting important life outcomes such as educational achievement and mortality, the exact configuration and neural correlates of cognitive abilities remain poorly understood, especially in childhood and adolescence. Therefore, we sought to elucidate the factorial structure and neural substrates of child and adolescent intelligence using two cross-sectional, developmental samples (CALM: N = 551 (N = 165 imaging), age range: 5–18 years, NKI-Rockland: N = 337 (N = 65 imaging), age range: 6–18 years). In a preregistered analysis, we used structural equation modelling (SEM) to examine the neurocognitive architecture of individual differences in childhood and adolescent cognitive ability. In both samples, we found that cognitive ability in lower and typical-ability cohorts is best understood as two separable constructs, crystallized and fluid intelligence, which became more distinct across development, in line with the age differentiation hypothesis. Further analyses revealed that white matter microstructure, most prominently the superior longitudinal fasciculus, was strongly associated with crystallized (gc) and fluid (gf) abilities. Finally, we used SEM trees to demonstrate evidence for developmental reorganization of gc and gf and their white matter substrates such that the relationships among these factors dropped between 7–8 years before increasing around age 10. Together, our results suggest that shortly before puberty marks a pivotal phase of change in the neurocognitive architecture of intelligence.","container-title":"Developmental Cognitive Neuroscience","DOI":"10.1016/j.dcn.2019.100743","ISSN":"1878-9293","journalAbbreviation":"Developmental Cognitive Neuroscience","page":"100743","source":"ScienceDirect","title":"Neurocognitive reorganization between crystallized intelligence, fluid intelligence and white matter microstructure in two age-heterogeneous developmental cohorts","volume":"41","author":[{"family":"Simpson-Kent","given":"Ivan L."},{"family":"Fuhrmann","given":"Delia"},{"family":"Bathelt","given":"Joe"},{"family":"Achterberg","given":"Jascha"},{"family":"Borgeest","given":"Gesa Sophia"},{"family":"Kievit","given":"Rogier A."}],"issued":{"date-parts":[["2020",2,1]]}}}],"schema":"https://github.com/citation-style-language/schema/raw/master/csl-citation.json"} </w:instrText>
      </w:r>
      <w:r w:rsidR="008F1B76" w:rsidRPr="00636F71">
        <w:fldChar w:fldCharType="separate"/>
      </w:r>
      <w:r w:rsidR="00636F71" w:rsidRPr="00636F71">
        <w:rPr>
          <w:vertAlign w:val="superscript"/>
        </w:rPr>
        <w:t>29,30</w:t>
      </w:r>
      <w:r w:rsidR="008F1B76" w:rsidRPr="00636F71">
        <w:fldChar w:fldCharType="end"/>
      </w:r>
      <w:r w:rsidR="008F1B76" w:rsidRPr="00636F71">
        <w:t xml:space="preserve">, while other competencies like their number comparison abilities </w:t>
      </w:r>
      <w:r w:rsidR="008F1B76" w:rsidRPr="00636F71">
        <w:rPr>
          <w:i/>
          <w:iCs/>
        </w:rPr>
        <w:t>integrate</w:t>
      </w:r>
      <w:r w:rsidR="008F1B76" w:rsidRPr="00636F71">
        <w:t xml:space="preserve"> </w:t>
      </w:r>
      <w:r w:rsidR="008F1B76" w:rsidRPr="00636F71">
        <w:fldChar w:fldCharType="begin"/>
      </w:r>
      <w:r w:rsidR="00636F71" w:rsidRPr="00636F71">
        <w:instrText xml:space="preserve"> ADDIN ZOTERO_ITEM CSL_CITATION {"citationID":"aSDLPBnB","properties":{"formattedCitation":"\\super 31\\nosupersub{}","plainCitation":"31","noteIndex":0},"citationItems":[{"id":552,"uris":["http://zotero.org/users/3750895/items/LUJ4KF3M"],"itemData":{"id":552,"type":"article-journal","abstract":"What representations underlie the ability to think and reason about number? Whereas certain numerical concepts, such as the real numbers, are only ever represented by a subset of human adults, other numerical abilities are widespread and can be observed in adults, infants and other animal species. We review recent behavioral and neuropsychological evidence that these ontogenetically and phylogenetically shared abilities rest on two core systems for representing number. Performance signatures common across development and across species implicate one system for representing large, approximate numerical magnitudes, and a second system for the precise representation of small numbers of individual objects. These systems account for our basic numerical intuitions, and serve as the foundation for the more sophisticated numerical concepts that are uniquely human.","container-title":"Trends in Cognitive Sciences","DOI":"10.1016/j.tics.2004.05.002","ISSN":"1364-6613","journalAbbreviation":"Trends in Cognitive Sciences","page":"307-314","source":"ScienceDirect","title":"Core systems of number","volume":"8","author":[{"family":"Feigenson","given":"Lisa"},{"family":"Dehaene","given":"Stanislas"},{"family":"Spelke","given":"Elizabeth"}],"issued":{"date-parts":[["2004",7,1]]}}}],"schema":"https://github.com/citation-style-language/schema/raw/master/csl-citation.json"} </w:instrText>
      </w:r>
      <w:r w:rsidR="008F1B76" w:rsidRPr="00636F71">
        <w:fldChar w:fldCharType="separate"/>
      </w:r>
      <w:r w:rsidR="00636F71" w:rsidRPr="00636F71">
        <w:rPr>
          <w:vertAlign w:val="superscript"/>
        </w:rPr>
        <w:t>31</w:t>
      </w:r>
      <w:r w:rsidR="008F1B76" w:rsidRPr="00636F71">
        <w:fldChar w:fldCharType="end"/>
      </w:r>
      <w:r w:rsidR="008F1B76" w:rsidRPr="00636F71">
        <w:t xml:space="preserve">. The currently limited correlational work in children’s confidence reasoning already points towards some developmental change. Children younger than 8 show no correlations </w:t>
      </w:r>
      <w:r w:rsidR="00675E33" w:rsidRPr="00636F71">
        <w:t xml:space="preserve">for </w:t>
      </w:r>
      <w:r w:rsidR="00675E33" w:rsidRPr="00636F71">
        <w:t xml:space="preserve">sensitivity or bias </w:t>
      </w:r>
      <w:r w:rsidR="008F1B76" w:rsidRPr="00636F71">
        <w:t>across domains, even within perceptual decision-mak</w:t>
      </w:r>
      <w:r w:rsidR="00636F71">
        <w:t xml:space="preserve">ing </w:t>
      </w:r>
      <w:r w:rsidR="00636F71">
        <w:fldChar w:fldCharType="begin"/>
      </w:r>
      <w:r w:rsidR="00636F71">
        <w:instrText xml:space="preserve"> ADDIN ZOTERO_ITEM CSL_CITATION {"citationID":"M0e6Pn7X","properties":{"formattedCitation":"\\super 32\\uc0\\u8211{}36\\nosupersub{}","plainCitation":"32–36","noteIndex":0},"citationItems":[{"id":655,"uris":["http://zotero.org/users/3750895/items/2EB7L3R6"],"itemData":{"id":655,"type":"article-journal","abstract":"The world can be a confusing place, which leads to a significant challenge: how do we figure out what is true? To accomplish this, children possess two relevant skills: reasoning about the likelihood of their own accuracy (metacognitive confidence) and reasoning about the likelihood of others’ accuracy (mindreading). Guided by Signal Detection Theory and Simulation Theory, we examine whether these two self- and other-oriented skills are one in the same, relying on a single cognitive process. Specifically, Signal Detection Theory proposes that confidence in a decision is purely derived from the imprecision of that decision, predicting a tight correlation between decision accuracy and confidence. Simulation Theory further proposes that children attribute their own cognitive experience to others when reasoning socially. Together, these theories predict that children’s self and other reasoning should be highly correlated and dependent on decision accuracy. In four studies (N = 374), children aged 4–7 completed a confidence reasoning task and selective social learning task each designed to eliminate confounding language and response biases, enabling us to isolate the unique correlation between self and other reasoning. However, in three of the four studies, we did not find that individual differences on the two tasks correlated, nor that decision accuracy explained performance. These findings suggest self and other reasoning are either independent in childhood, or the result of a single process that operates differently for self and others.","container-title":"Metacognition and Learning","DOI":"10.1007/s11409-021-09263-x","ISSN":"1556-1631","issue":"2","journalAbbreviation":"Metacognition Learning","language":"en","license":"All rights reserved","page":"485-516","source":"Springer Link","title":"Are children’s judgments of another’s accuracy linked to their metacognitive confidence judgments?","volume":"16","author":[{"family":"Baer","given":"Carolyn"},{"family":"Malik","given":"Puja"},{"family":"Odic","given":"Darko"}],"issued":{"date-parts":[["2021",8,1]]}}},{"id":418,"uris":["http://zotero.org/users/3750895/items/2FB2YMIX"],"itemData":{"id":418,"type":"article-journal","abstract":"Metacognitive monitoring is a critical predictor of arithmetic in primary school. One outstanding question is whether this metacognitive monitoring is domain-specific or whether it reflects a more general performance monitoring process. To answer this conundrum, we investigated metacognitive monitoring in two related, yet distinct academic domains: arithmetic and spelling. This allowed us to investigate whether monitoring in one domain correlated with monitoring in the other domain, and whether monitoring in one domain was predictive of performance in the other, and vice versa. Participants were 147 typically developing 8-9-year-old children (Study 1) and 77 typically developing 7-8-year-old children (Study 2), who were in the middle of an important developmental period for both metacognitive monitoring and academic skills. Pre-registered analyses revealed that within-domain metacognitive monitoring was an important predictor of arithmetic and spelling at both ages. In 8-9-year-olds the metacognitive monitoring measures in different academic domains were predictive of each other, even after taking into account academic performance in these domains. Monitoring in arithmetic was an important predictor of spelling performance, even when arithmetic performance was controlled for. Likewise, monitoring in spelling was an important predictor of arithmetic performance, even when spelling performance was controlled for. In 7-8-year-olds metacognitive monitoring was domain-specific, with neither correlations between the monitoring measures, nor correlations between monitoring in one domain and performance in the other. Taken together, these findings indicate that more domain-general metacognitive monitoring processes emerge over the ages from 7 to 9.","container-title":"PLOS ONE","DOI":"10.1371/journal.pone.0229932","ISSN":"1932-6203","journalAbbreviation":"PLOS ONE","language":"en","note":"publisher: Public Library of Science","page":"e0229932","source":"PLoS Journals","title":"Metacognition across domains: Is the association between arithmetic and metacognitive monitoring domain-specific?","title-short":"Metacognition across domains","volume":"15","author":[{"family":"Bellon","given":"Elien"},{"family":"Fias","given":"Wim"},{"family":"Smedt","given":"Bert De"}],"issued":{"date-parts":[["2020",3,12]]}}},{"id":530,"uris":["http://zotero.org/users/3750895/items/GIJN5IKP"],"itemData":{"id":530,"type":"article-journal","abstract":"We examined the developmental course of metacognition concurrently in arithmetic problem solving and in episodic memory. In Experiment 1, children aged between 8 and 13 were asked to judge the ease with which they would select the better strategy on a given item before actually selecting and executing it. In Experiments 2 and 3, children had to judge their level of confidence in a strategy once selected. Results of these experiments indicated that children are able to accurately judge whether they select the better strategy on a given item in both the arithmetic and the memory domains, and that this ability improves with age. Using a comprehensive set of metacognitive measures, our data support the hypothesis that metacognition is first domain-specific and then generalizes across domains as children mature. Implications of these findings to further our understanding of age-related changes in metacognition and its involvement in strategy selection are discussed.","container-title":"Cognitive Development","DOI":"10.1016/j.cogdev.2018.08.002","ISSN":"0885-2014","journalAbbreviation":"Cognitive Development","page":"62-81","source":"ScienceDirect","title":"From domain-specific to domain-general? The developmental path of metacognition for strategy selection","title-short":"From domain-specific to domain-general?","volume":"48","author":[{"family":"Geurten","given":"Marie"},{"family":"Meulemans","given":"Thierry"},{"family":"Lemaire","given":"Patrick"}],"issued":{"date-parts":[["2018",10,1]]}}},{"id":2356,"uris":["http://zotero.org/users/3750895/items/PWQ2NKYH"],"itemData":{"id":2356,"type":"article-journal","abstract":"Metacognition refers to the capacity to reflect upon our own cognitive processes. Its contribution to reading development, when children start building their orthographic lexicon, still remains unknown. Here, we evaluate the metacognitive efficiency of children aged between 6 and 7 years old (N = 60) in 5 experimental tasks; four linguistic tasks assessing orthographic lexical processing and a non-linguistic task unrelated to reading skills. First, we investigated how metacognition on the experimental tasks related to standardised on-paper reading performance, hence participants’ general reading level. Second, we assessed whether these developing readers recruited common metacognitive mechanisms across the different experimental tasks. Third, we explored whether metacognition in this early stage was related to the longitudinal improvement in performance on a linguistic vs a non-linguistic task. No association was found between students’ metacognition in the reading-related tasks and performance on the standardised reading tests, notwithstanding first-order performance correlated across these tasks. Remarkably, some negative correlations were noted between students’ metacognitive ability in one task and task performance in another task. Moreover, we found some evidence consistent with shared metacognitive mechanisms for monitoring performance across tasks. Finally, metacognitive efficiency significantly predicted children’s performance improvement across domains 10 months later. These results suggest that the development of metacognitive processing may be dissociated to some extent from reading-related linguistic abilities during the early stages of formal education. Nevertheless, it may play a fundamental role in guiding students’ learning across domains. These data highlight the importance of creating educational programs fostering students’ metacognition as a long-term learning tool.","container-title":"Metacognition and Learning","DOI":"10.1007/s11409-022-09292-0","ISSN":"1556-1631","issue":"3","journalAbbreviation":"Metacognition Learning","language":"en","page":"921-948","source":"Springer Link","title":"The role of metacognition in monitoring performance and regulating learning in early readers","volume":"17","author":[{"family":"Taouki","given":"Ioanna"},{"family":"Lallier","given":"Marie"},{"family":"Soto","given":"David"}],"issued":{"date-parts":[["2022",12,1]]}}},{"id":47,"uris":["http://zotero.org/users/3750895/items/K2VVJRZ7"],"itemData":{"id":47,"type":"article-journal","container-title":"Psychological science","DOI":"10.1177/0956797614538458","page":"1712–1721","source":"Google Scholar","title":"Young children bet on their numerical skills metacognition in the numerical domain","volume":"25","author":[{"family":"Vo","given":"Vy A."},{"family":"Li","given":"Rosa"},{"family":"Kornell","given":"Nate"},{"family":"Pouget","given":"Alexandre"},{"family":"Cantlon","given":"Jessica F."}],"issued":{"date-parts":[["2014"]]}}}],"schema":"https://github.com/citation-style-language/schema/raw/master/csl-citation.json"} </w:instrText>
      </w:r>
      <w:r w:rsidR="00636F71">
        <w:fldChar w:fldCharType="separate"/>
      </w:r>
      <w:r w:rsidR="00636F71" w:rsidRPr="00636F71">
        <w:rPr>
          <w:vertAlign w:val="superscript"/>
        </w:rPr>
        <w:t>32–36</w:t>
      </w:r>
      <w:r w:rsidR="00636F71">
        <w:fldChar w:fldCharType="end"/>
      </w:r>
      <w:r w:rsidR="008F1B76" w:rsidRPr="00636F71">
        <w:t xml:space="preserve">. But, by 9-11 years old, they do </w:t>
      </w:r>
      <w:r w:rsidR="008F1B76" w:rsidRPr="00636F71">
        <w:fldChar w:fldCharType="begin"/>
      </w:r>
      <w:r w:rsidR="00636F71" w:rsidRPr="00636F71">
        <w:instrText xml:space="preserve"> ADDIN ZOTERO_ITEM CSL_CITATION {"citationID":"wrI9eaHs","properties":{"formattedCitation":"\\super 33,34\\nosupersub{}","plainCitation":"33,34","noteIndex":0},"citationItems":[{"id":418,"uris":["http://zotero.org/users/3750895/items/2FB2YMIX"],"itemData":{"id":418,"type":"article-journal","abstract":"Metacognitive monitoring is a critical predictor of arithmetic in primary school. One outstanding question is whether this metacognitive monitoring is domain-specific or whether it reflects a more general performance monitoring process. To answer this conundrum, we investigated metacognitive monitoring in two related, yet distinct academic domains: arithmetic and spelling. This allowed us to investigate whether monitoring in one domain correlated with monitoring in the other domain, and whether monitoring in one domain was predictive of performance in the other, and vice versa. Participants were 147 typically developing 8-9-year-old children (Study 1) and 77 typically developing 7-8-year-old children (Study 2), who were in the middle of an important developmental period for both metacognitive monitoring and academic skills. Pre-registered analyses revealed that within-domain metacognitive monitoring was an important predictor of arithmetic and spelling at both ages. In 8-9-year-olds the metacognitive monitoring measures in different academic domains were predictive of each other, even after taking into account academic performance in these domains. Monitoring in arithmetic was an important predictor of spelling performance, even when arithmetic performance was controlled for. Likewise, monitoring in spelling was an important predictor of arithmetic performance, even when spelling performance was controlled for. In 7-8-year-olds metacognitive monitoring was domain-specific, with neither correlations between the monitoring measures, nor correlations between monitoring in one domain and performance in the other. Taken together, these findings indicate that more domain-general metacognitive monitoring processes emerge over the ages from 7 to 9.","container-title":"PLOS ONE","DOI":"10.1371/journal.pone.0229932","ISSN":"1932-6203","journalAbbreviation":"PLOS ONE","language":"en","note":"publisher: Public Library of Science","page":"e0229932","source":"PLoS Journals","title":"Metacognition across domains: Is the association between arithmetic and metacognitive monitoring domain-specific?","title-short":"Metacognition across domains","volume":"15","author":[{"family":"Bellon","given":"Elien"},{"family":"Fias","given":"Wim"},{"family":"Smedt","given":"Bert De"}],"issued":{"date-parts":[["2020",3,12]]}}},{"id":530,"uris":["http://zotero.org/users/3750895/items/GIJN5IKP"],"itemData":{"id":530,"type":"article-journal","abstract":"We examined the developmental course of metacognition concurrently in arithmetic problem solving and in episodic memory. In Experiment 1, children aged between 8 and 13 were asked to judge the ease with which they would select the better strategy on a given item before actually selecting and executing it. In Experiments 2 and 3, children had to judge their level of confidence in a strategy once selected. Results of these experiments indicated that children are able to accurately judge whether they select the better strategy on a given item in both the arithmetic and the memory domains, and that this ability improves with age. Using a comprehensive set of metacognitive measures, our data support the hypothesis that metacognition is first domain-specific and then generalizes across domains as children mature. Implications of these findings to further our understanding of age-related changes in metacognition and its involvement in strategy selection are discussed.","container-title":"Cognitive Development","DOI":"10.1016/j.cogdev.2018.08.002","ISSN":"0885-2014","journalAbbreviation":"Cognitive Development","page":"62-81","source":"ScienceDirect","title":"From domain-specific to domain-general? The developmental path of metacognition for strategy selection","title-short":"From domain-specific to domain-general?","volume":"48","author":[{"family":"Geurten","given":"Marie"},{"family":"Meulemans","given":"Thierry"},{"family":"Lemaire","given":"Patrick"}],"issued":{"date-parts":[["2018",10,1]]}}}],"schema":"https://github.com/citation-style-language/schema/raw/master/csl-citation.json"} </w:instrText>
      </w:r>
      <w:r w:rsidR="008F1B76" w:rsidRPr="00636F71">
        <w:fldChar w:fldCharType="separate"/>
      </w:r>
      <w:r w:rsidR="00636F71" w:rsidRPr="00636F71">
        <w:rPr>
          <w:vertAlign w:val="superscript"/>
        </w:rPr>
        <w:t>33,34</w:t>
      </w:r>
      <w:r w:rsidR="008F1B76" w:rsidRPr="00636F71">
        <w:fldChar w:fldCharType="end"/>
      </w:r>
      <w:r w:rsidR="008F1B76" w:rsidRPr="00636F71">
        <w:t>. This pattern suggests that confidence may become more</w:t>
      </w:r>
      <w:r w:rsidR="008F1B76" w:rsidRPr="00636F71">
        <w:rPr>
          <w:i/>
          <w:iCs/>
        </w:rPr>
        <w:t xml:space="preserve"> generalized</w:t>
      </w:r>
      <w:r w:rsidR="008F1B76" w:rsidRPr="00636F71">
        <w:t xml:space="preserve"> with age, akin to number representations. Studies of confidence commensurability in childhood are even rarer, with one study showing commensurability of perceptual confidence in 6-8 year-olds </w:t>
      </w:r>
      <w:r w:rsidR="008F1B76" w:rsidRPr="00636F71">
        <w:fldChar w:fldCharType="begin"/>
      </w:r>
      <w:r w:rsidR="00B42F45">
        <w:instrText xml:space="preserve"> ADDIN ZOTERO_ITEM CSL_CITATION {"citationID":"GSjAZbTH","properties":{"formattedCitation":"\\super 37\\nosupersub{}","plainCitation":"37","noteIndex":0},"citationItems":[{"id":737,"uris":["http://zotero.org/users/3750895/items/MGEX763F"],"itemData":{"id":737,"type":"article-journal","abstract":"How do we make decisions across perceptual boundaries? Here, we test the account that confidence constitutes a common currency for perceptual decisions even in childhood by examining whether confidence can be compared across distinct perceptual dimensions. We conducted a strict test of domain-generality in confidence reasoning by asking 6-7 year-olds to compare their confidence in two decisions either from the same perceptual dimension (e.g., number vs. number) or from two different perceptual dimensions (e.g., area vs. emotion). Not only could children compare their confidence across and within domains, there were no differences in their abilities to make within- and across-domain comparisons. Our findings support the idea that confidence is represented in a common format even in childhood, which could provide an account for perceptual integration in childhood that doesn’t necessitate the use of language.","container-title":"Developmental Psychology","DOI":"10.1037/dev0001100","license":"All rights reserved","page":"2095-2101","source":"DOI.org (Crossref)","title":"Children flexibly compare their confidence within and across perceptual domains","volume":"56","author":[{"family":"Baer","given":"Carolyn"},{"family":"Odic","given":"Darko"}],"issued":{"date-parts":[["2020"]]}}}],"schema":"https://github.com/citation-style-language/schema/raw/master/csl-citation.json"} </w:instrText>
      </w:r>
      <w:r w:rsidR="008F1B76" w:rsidRPr="00636F71">
        <w:fldChar w:fldCharType="separate"/>
      </w:r>
      <w:r w:rsidR="00B42F45" w:rsidRPr="00B42F45">
        <w:rPr>
          <w:vertAlign w:val="superscript"/>
        </w:rPr>
        <w:t>37</w:t>
      </w:r>
      <w:r w:rsidR="008F1B76" w:rsidRPr="00636F71">
        <w:fldChar w:fldCharType="end"/>
      </w:r>
      <w:r w:rsidR="008F1B76" w:rsidRPr="00636F71">
        <w:t>, but no study has compared memory to perception.</w:t>
      </w:r>
    </w:p>
    <w:p w14:paraId="6148F4AD" w14:textId="386740B8" w:rsidR="006C3ABF" w:rsidRPr="00636F71" w:rsidRDefault="008F1B76" w:rsidP="005A785C">
      <w:pPr>
        <w:spacing w:line="240" w:lineRule="auto"/>
        <w:jc w:val="both"/>
      </w:pPr>
      <w:r w:rsidRPr="00636F71">
        <w:t>Second</w:t>
      </w:r>
      <w:r w:rsidR="001C286E" w:rsidRPr="00636F71">
        <w:t>, we examine the relation between perceptual and memory confidence using both the correlational and the commensurability approaches. Beyond providing additional data on currently mixed correlational findings for these domains, our work interrogate</w:t>
      </w:r>
      <w:r w:rsidR="00747264" w:rsidRPr="00636F71">
        <w:t>s</w:t>
      </w:r>
      <w:r w:rsidR="001C286E" w:rsidRPr="00636F71">
        <w:t xml:space="preserve"> memory and perception using the commensurability approach</w:t>
      </w:r>
      <w:r w:rsidRPr="00636F71">
        <w:t xml:space="preserve"> in adults </w:t>
      </w:r>
      <w:r w:rsidR="00675E33" w:rsidRPr="00636F71">
        <w:t xml:space="preserve">and </w:t>
      </w:r>
      <w:r w:rsidRPr="00636F71">
        <w:t>children</w:t>
      </w:r>
      <w:r w:rsidR="00C575C8" w:rsidRPr="00636F71">
        <w:t xml:space="preserve">, </w:t>
      </w:r>
      <w:r w:rsidR="00D92A2B" w:rsidRPr="00636F71">
        <w:t>allowing us to</w:t>
      </w:r>
      <w:r w:rsidR="00C575C8" w:rsidRPr="00636F71">
        <w:t xml:space="preserve"> </w:t>
      </w:r>
      <w:r w:rsidR="00C60996" w:rsidRPr="00636F71">
        <w:t>examine if perceptual and memory confidence are represented using identical units on a general scale.</w:t>
      </w:r>
    </w:p>
    <w:p w14:paraId="2BE7C7D8" w14:textId="412F3A33" w:rsidR="006679C2" w:rsidRDefault="001C286E" w:rsidP="005A785C">
      <w:pPr>
        <w:spacing w:line="240" w:lineRule="auto"/>
        <w:jc w:val="both"/>
      </w:pPr>
      <w:r w:rsidRPr="00636F71">
        <w:t xml:space="preserve">In Experiment 1, we </w:t>
      </w:r>
      <w:r w:rsidR="009122EF" w:rsidRPr="00636F71">
        <w:t>use</w:t>
      </w:r>
      <w:r w:rsidRPr="00636F71">
        <w:t xml:space="preserve"> the correlational approach with episodic memory and area perception in both 5-7-year-old children</w:t>
      </w:r>
      <w:r w:rsidR="00D744E0" w:rsidRPr="00636F71">
        <w:t xml:space="preserve"> and undergraduate students</w:t>
      </w:r>
      <w:r w:rsidR="00C575C8" w:rsidRPr="00636F71">
        <w:t>, focusing on correlations in confidence sensitivity</w:t>
      </w:r>
      <w:r w:rsidR="003206B1" w:rsidRPr="00636F71">
        <w:t>, efficiency,</w:t>
      </w:r>
      <w:r w:rsidR="00C575C8" w:rsidRPr="00636F71">
        <w:t xml:space="preserve"> and bias</w:t>
      </w:r>
      <w:r w:rsidRPr="00636F71">
        <w:t xml:space="preserve">. </w:t>
      </w:r>
      <w:r w:rsidR="0099200F" w:rsidRPr="00636F71">
        <w:t xml:space="preserve">In the episodic memory task, participants saw a series of images and were asked to identify those images when paired with similar </w:t>
      </w:r>
      <w:r w:rsidR="00D744E0" w:rsidRPr="00636F71">
        <w:t>distractors</w:t>
      </w:r>
      <w:r w:rsidR="0099200F" w:rsidRPr="00636F71">
        <w:t xml:space="preserve">. In the perception task, participants indicated which of two amorphous shapes was bigger. Following each trial of both the </w:t>
      </w:r>
      <w:r w:rsidR="00D744E0" w:rsidRPr="00636F71">
        <w:t>m</w:t>
      </w:r>
      <w:r w:rsidR="0099200F" w:rsidRPr="00636F71">
        <w:t xml:space="preserve">emory and </w:t>
      </w:r>
      <w:r w:rsidR="00D744E0" w:rsidRPr="00636F71">
        <w:t>p</w:t>
      </w:r>
      <w:r w:rsidR="0099200F" w:rsidRPr="00636F71">
        <w:t>ercept</w:t>
      </w:r>
      <w:r w:rsidR="00D744E0" w:rsidRPr="00636F71">
        <w:t>ion</w:t>
      </w:r>
      <w:r w:rsidR="0099200F" w:rsidRPr="00636F71">
        <w:t xml:space="preserve"> tasks, participants made a metacognitive assessment of their confidence using a 3-point scale. See Figure </w:t>
      </w:r>
      <w:r w:rsidR="00347281" w:rsidRPr="00636F71">
        <w:t>2</w:t>
      </w:r>
      <w:r w:rsidR="0099200F" w:rsidRPr="00636F71">
        <w:t xml:space="preserve"> for an overview of the materials. </w:t>
      </w:r>
      <w:r w:rsidRPr="00636F71">
        <w:t xml:space="preserve">We find no correlations </w:t>
      </w:r>
      <w:r w:rsidR="00C575C8" w:rsidRPr="00636F71">
        <w:t>in sensitivity</w:t>
      </w:r>
      <w:r w:rsidR="003206B1" w:rsidRPr="00636F71">
        <w:t xml:space="preserve"> or efficiency</w:t>
      </w:r>
      <w:r w:rsidR="00C575C8" w:rsidRPr="00636F71">
        <w:t xml:space="preserve"> </w:t>
      </w:r>
      <w:r w:rsidRPr="00636F71">
        <w:t xml:space="preserve">between these domains at any age, </w:t>
      </w:r>
      <w:r w:rsidR="00C575C8" w:rsidRPr="00636F71">
        <w:t>but find strong correlations in bias</w:t>
      </w:r>
      <w:r w:rsidRPr="00636F71">
        <w:t>.</w:t>
      </w:r>
      <w:r w:rsidR="00C575C8" w:rsidRPr="00636F71">
        <w:t xml:space="preserve"> These results suggest that the signals children and adults attend to in order to estimate confidence are distinct for memory and perception </w:t>
      </w:r>
      <w:r w:rsidR="008F1B76" w:rsidRPr="00636F71">
        <w:t>across age</w:t>
      </w:r>
      <w:r w:rsidR="00C575C8" w:rsidRPr="00636F71">
        <w:t>.</w:t>
      </w:r>
    </w:p>
    <w:p w14:paraId="0E9042F3" w14:textId="1F0F8845" w:rsidR="00184747" w:rsidRPr="00636F71" w:rsidRDefault="00184747" w:rsidP="005A785C">
      <w:pPr>
        <w:spacing w:line="240" w:lineRule="auto"/>
        <w:jc w:val="both"/>
      </w:pPr>
      <w:r w:rsidRPr="00636F71">
        <w:t>In Experiment 2, we use the commensurability approach with the same domains and age groups. Instead of assessing confidence on a 3-point scale as in Experiment 1, here we instructed participants to select which of two decisions was subjectively experienced as more accurate than the other</w:t>
      </w:r>
      <w:r>
        <w:t xml:space="preserve"> </w:t>
      </w:r>
      <w:r>
        <w:fldChar w:fldCharType="begin"/>
      </w:r>
      <w:r>
        <w:instrText xml:space="preserve"> ADDIN ZOTERO_ITEM CSL_CITATION {"citationID":"XU6VBv9n","properties":{"formattedCitation":"\\super 25,26,38,39\\nosupersub{}","plainCitation":"25,26,38,39","noteIndex":0},"citationItems":[{"id":288,"uris":["http://zotero.org/users/3750895/items/JWP8HBNJ"],"itemData":{"id":288,"type":"article-journal","container-title":"PloS one","DOI":"10.1371/journal.pone.0147901","page":"e0147901","source":"Google Scholar","title":"Confidence as a common currency between vision and audition","volume":"11","author":[{"family":"De Gardelle","given":"Vincent"},{"family":"Le Corre","given":"François"},{"family":"Mamassian","given":"Pascal"}],"issued":{"date-parts":[["2016"]]}}},{"id":48,"uris":["http://zotero.org/users/3750895/items/4UWXAWEI"],"itemData":{"id":48,"type":"article-journal","container-title":"Psychological science","DOI":"10.1177/0956797614528956","page":"1286-1288","source":"Google Scholar","title":"Does confidence use a common currency across two visual tasks?","volume":"25","author":[{"family":"De Gardelle","given":"Vincent"},{"family":"Mamassian","given":"Pascal"}],"issued":{"date-parts":[["2014"]]}}},{"id":492,"uris":["http://zotero.org/users/3750895/items/26XWZS9Y"],"itemData":{"id":492,"type":"article-journal","abstract":"Our minds constantly evaluate the confidence in what we see, think, and remember. Previous work suggests that confidence is a domain-general currency in adulthood, unifying otherwise independent sensory and perceptual representations. Here, we test whether children also possess a domain-general sense of confidence over otherwise independent perceptual dimensions. Six- to 9-year-olds completed either three simple perceptual discrimination tasks—a number task (“Which group has more dots?”), an area task (“Which blob is bigger?”), and an emotions task (“Which face is happier?”)—or three relative confidence tasks, selecting which of two trials they are more confident on. We find that while children’s discrimination performance across the three tasks was independent and constituted three separate factors, children’s confidence in each of three dimensions was strongly correlated and constituted only a single factor. Our results suggest that confidence is a domain-general currency even in childhood, providing a mechanism by which disparate perceptual representations could be integrated.","container-title":"Open Mind: Discoveries in Cognitive Science","DOI":"10.1162/opmi_a_00020","journalAbbreviation":"Open Mind","license":"All rights reserved","page":"86-96","source":"MIT Press Journals","title":"A domain-general sense of confidence in children","volume":"2","author":[{"family":"Baer","given":"Carolyn"},{"family":"Gill","given":"Inderpreet K."},{"family":"Odic","given":"Darko"}],"issued":{"date-parts":[["2018"]]}}},{"id":468,"uris":["http://zotero.org/users/3750895/items/WT8M9XGZ"],"itemData":{"id":468,"type":"article-journal","container-title":"Cognitive Development","DOI":"10.1016/j.cogdev.2019.100817","license":"All rights reserved","page":"100817","title":"Certainty in numerical judgments develops independently of the Approximate Number System","volume":"52","author":[{"family":"Baer","given":"Carolyn"},{"family":"Odic","given":"Darko"}],"issued":{"date-parts":[["2019"]]}}}],"schema":"https://github.com/citation-style-language/schema/raw/master/csl-citation.json"} </w:instrText>
      </w:r>
      <w:r>
        <w:fldChar w:fldCharType="separate"/>
      </w:r>
      <w:r w:rsidRPr="00B42F45">
        <w:rPr>
          <w:vertAlign w:val="superscript"/>
        </w:rPr>
        <w:t>25,26,38,39</w:t>
      </w:r>
      <w:r>
        <w:fldChar w:fldCharType="end"/>
      </w:r>
      <w:r>
        <w:t xml:space="preserve"> (see Figure 3)</w:t>
      </w:r>
      <w:r w:rsidRPr="00636F71">
        <w:t xml:space="preserve">. Previous research has shown that these choices are guided by subjective confidence even in preschool children </w:t>
      </w:r>
      <w:r w:rsidRPr="00636F71">
        <w:fldChar w:fldCharType="begin"/>
      </w:r>
      <w:r w:rsidRPr="00636F71">
        <w:instrText xml:space="preserve"> ADDIN ZOTERO_ITEM CSL_CITATION {"citationID":"txpsIpR2","properties":{"formattedCitation":"\\super 40\\nosupersub{}","plainCitation":"40","noteIndex":0},"citationItems":[{"id":475,"uris":["http://zotero.org/users/3750895/items/U36E8RI6"],"itemData":{"id":475,"type":"article-journal","abstract":"Preschoolers' ability to introspect and make decisions on the basis of these introspections has traditionally been questioned. The present research introduces a novel paradigm to examine the development of the connection between subjective uncertainty about memory and decision making in preschoolers. Three-, 4-, and 5-year-olds (N = 81) encoded items presented once or twice. They then completed a forced-choice test, provided confidence judgments for each response, and decided whether to select or exclude answers to be evaluated for the possibility of reward. Four- and 5-year-olds, but not 3-year-olds, reported lower certainty for incorrect and weaker memories than for correct and stronger memories, and they judiciously excluded their least confident memories, which resulted in accuracy gains for selected memories; these findings highlight age-related improvements in introspection on memory accuracy. Among accurate responses only, even 3-year-olds excluded their least confident answers, which suggests that the connection between uncertainty and decision making precedes the ability to monitor memory accuracy.","container-title":"Psychological Science","DOI":"10.1177/0956797614542273","ISSN":"1467-9280","journalAbbreviation":"Psychol Sci","language":"eng","note":"PMID: 25015686","page":"1768-1776","source":"PubMed","title":"Don't look at my answer: subjective uncertainty underlies preschoolers' exclusion of their least accurate memories","title-short":"Don't look at my answer","volume":"25","author":[{"family":"Hembacher","given":"Emily"},{"family":"Ghetti","given":"Simona"}],"issued":{"date-parts":[["2014"]]}}}],"schema":"https://github.com/citation-style-language/schema/raw/master/csl-citation.json"} </w:instrText>
      </w:r>
      <w:r w:rsidRPr="00636F71">
        <w:fldChar w:fldCharType="separate"/>
      </w:r>
      <w:r w:rsidRPr="00636F71">
        <w:rPr>
          <w:vertAlign w:val="superscript"/>
        </w:rPr>
        <w:t>40</w:t>
      </w:r>
      <w:r w:rsidRPr="00636F71">
        <w:fldChar w:fldCharType="end"/>
      </w:r>
      <w:r w:rsidRPr="00636F71">
        <w:t xml:space="preserve">, and the format may reduce </w:t>
      </w:r>
    </w:p>
    <w:p w14:paraId="2E781D5D" w14:textId="77777777" w:rsidR="00184747" w:rsidRDefault="00184747" w:rsidP="005A785C">
      <w:pPr>
        <w:spacing w:line="240" w:lineRule="auto"/>
        <w:jc w:val="both"/>
        <w:sectPr w:rsidR="00184747" w:rsidSect="005A785C">
          <w:type w:val="continuous"/>
          <w:pgSz w:w="12240" w:h="15840"/>
          <w:pgMar w:top="1440" w:right="616" w:bottom="1440" w:left="567" w:header="708" w:footer="708" w:gutter="0"/>
          <w:cols w:num="2" w:space="708"/>
          <w:docGrid w:linePitch="360"/>
        </w:sectPr>
      </w:pPr>
    </w:p>
    <w:p w14:paraId="1A263557" w14:textId="2408AA33" w:rsidR="00184747" w:rsidRPr="003C4FF6" w:rsidRDefault="00184747" w:rsidP="00184747">
      <w:pPr>
        <w:spacing w:line="240" w:lineRule="auto"/>
        <w:ind w:firstLine="0"/>
        <w:rPr>
          <w:sz w:val="20"/>
          <w:szCs w:val="20"/>
        </w:rPr>
      </w:pPr>
      <w:r w:rsidRPr="00184747">
        <w:rPr>
          <w:noProof/>
        </w:rPr>
        <w:lastRenderedPageBreak/>
        <w:drawing>
          <wp:inline distT="0" distB="0" distL="0" distR="0" wp14:anchorId="18821804" wp14:editId="333D303F">
            <wp:extent cx="7021195" cy="4037965"/>
            <wp:effectExtent l="0" t="0" r="8255" b="0"/>
            <wp:docPr id="1642731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311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7021195" cy="4037965"/>
                    </a:xfrm>
                    <a:prstGeom prst="rect">
                      <a:avLst/>
                    </a:prstGeom>
                  </pic:spPr>
                </pic:pic>
              </a:graphicData>
            </a:graphic>
          </wp:inline>
        </w:drawing>
      </w:r>
      <w:r w:rsidRPr="00184747">
        <w:t xml:space="preserve"> </w:t>
      </w:r>
      <w:r w:rsidRPr="003C4FF6">
        <w:rPr>
          <w:sz w:val="20"/>
          <w:szCs w:val="20"/>
        </w:rPr>
        <w:t xml:space="preserve">Figure 2: </w:t>
      </w:r>
      <w:r w:rsidRPr="003C4FF6">
        <w:rPr>
          <w:b/>
          <w:bCs/>
          <w:sz w:val="20"/>
          <w:szCs w:val="20"/>
        </w:rPr>
        <w:t>Stimuli used in Experiment 1A (Adults) and 1B (Children).</w:t>
      </w:r>
      <w:r w:rsidRPr="003C4FF6">
        <w:rPr>
          <w:sz w:val="20"/>
          <w:szCs w:val="20"/>
        </w:rPr>
        <w:t xml:space="preserve"> </w:t>
      </w:r>
    </w:p>
    <w:p w14:paraId="46D90520" w14:textId="77777777" w:rsidR="00184747" w:rsidRPr="003C4FF6" w:rsidRDefault="00184747" w:rsidP="00184747">
      <w:pPr>
        <w:spacing w:line="240" w:lineRule="auto"/>
        <w:ind w:firstLine="0"/>
        <w:rPr>
          <w:sz w:val="20"/>
          <w:szCs w:val="20"/>
        </w:rPr>
      </w:pPr>
      <w:r w:rsidRPr="003C4FF6">
        <w:rPr>
          <w:sz w:val="20"/>
          <w:szCs w:val="20"/>
        </w:rPr>
        <w:t>In the Encoding phase, participants saw items one at a time, and children additionally indicated its identity and colour. In the Retrieval phase, participants identified the item they saw during Encoding from a similar distractor. In the Perception task, participants indicated which shape was bigger. Following every Memory and Perceptual judgment, participants gave a confidence judgment on a three-point scale. Memory and Perception sections were counterbalanced across participants.</w:t>
      </w:r>
    </w:p>
    <w:p w14:paraId="2155EC05" w14:textId="0EA67CA6" w:rsidR="00184747" w:rsidRDefault="00184747" w:rsidP="00184747">
      <w:pPr>
        <w:spacing w:line="240" w:lineRule="auto"/>
        <w:ind w:firstLine="0"/>
        <w:jc w:val="both"/>
      </w:pPr>
    </w:p>
    <w:p w14:paraId="510B3B9F" w14:textId="45563D7F" w:rsidR="00184747" w:rsidRDefault="00184747" w:rsidP="00184747">
      <w:pPr>
        <w:spacing w:line="240" w:lineRule="auto"/>
        <w:ind w:firstLine="0"/>
        <w:jc w:val="both"/>
        <w:sectPr w:rsidR="00184747" w:rsidSect="00184747">
          <w:type w:val="continuous"/>
          <w:pgSz w:w="12240" w:h="15840"/>
          <w:pgMar w:top="1440" w:right="616" w:bottom="1440" w:left="567" w:header="708" w:footer="708" w:gutter="0"/>
          <w:cols w:space="708"/>
          <w:docGrid w:linePitch="360"/>
        </w:sectPr>
      </w:pPr>
    </w:p>
    <w:p w14:paraId="095DE884" w14:textId="0F6B81EC" w:rsidR="003C4FF6" w:rsidRPr="00636F71" w:rsidRDefault="003C4FF6" w:rsidP="003C4FF6">
      <w:pPr>
        <w:spacing w:line="240" w:lineRule="auto"/>
        <w:ind w:firstLine="0"/>
        <w:jc w:val="both"/>
      </w:pPr>
      <w:r w:rsidRPr="00636F71">
        <w:t xml:space="preserve">working memory demands. This paradigm requires that participants </w:t>
      </w:r>
      <w:r w:rsidRPr="00636F71">
        <w:rPr>
          <w:i/>
          <w:iCs/>
        </w:rPr>
        <w:t>compare</w:t>
      </w:r>
      <w:r w:rsidRPr="00636F71">
        <w:t xml:space="preserve"> the experience of confidence in each trial directly against one another. If confidence is represented on a domain-specific scale, such comparisons should only be possible or cost-free when both decisions are from the same domain (e.g.,</w:t>
      </w:r>
      <w:r w:rsidR="006679C2" w:rsidRPr="00636F71">
        <w:t>Memory vs Memory). If confidence is instead represented in a domain-general format,</w:t>
      </w:r>
      <w:r>
        <w:t xml:space="preserve"> </w:t>
      </w:r>
      <w:r w:rsidR="003474D2" w:rsidRPr="00636F71">
        <w:t xml:space="preserve">such comparisons should be possible and not incur additional costs even when comparing across domains (e.g., Perception vs Memory). </w:t>
      </w:r>
      <w:r w:rsidR="00607F8E" w:rsidRPr="00636F71">
        <w:t xml:space="preserve">To assess whether their confidence decisions were warranted, we examined whether participants were more accurate on Chosen trials (i.e., those participants were more confident of) than Discarded trials </w:t>
      </w:r>
      <w:r w:rsidR="00607F8E" w:rsidRPr="00636F71">
        <w:fldChar w:fldCharType="begin"/>
      </w:r>
      <w:r w:rsidR="00636F71">
        <w:instrText xml:space="preserve"> ADDIN ZOTERO_ITEM CSL_CITATION {"citationID":"LXUSinT0","properties":{"formattedCitation":"\\super 39\\nosupersub{}","plainCitation":"39","noteIndex":0},"citationItems":[{"id":468,"uris":["http://zotero.org/users/3750895/items/WT8M9XGZ"],"itemData":{"id":468,"type":"article-journal","container-title":"Cognitive Development","DOI":"10.1016/j.cogdev.2019.100817","license":"All rights reserved","page":"100817","title":"Certainty in numerical judgments develops independently of the Approximate Number System","volume":"52","author":[{"family":"Baer","given":"Carolyn"},{"family":"Odic","given":"Darko"}],"issued":{"date-parts":[["2019"]]}}}],"schema":"https://github.com/citation-style-language/schema/raw/master/csl-citation.json"} </w:instrText>
      </w:r>
      <w:r w:rsidR="00607F8E" w:rsidRPr="00636F71">
        <w:fldChar w:fldCharType="separate"/>
      </w:r>
      <w:r w:rsidR="00636F71" w:rsidRPr="00636F71">
        <w:rPr>
          <w:vertAlign w:val="superscript"/>
        </w:rPr>
        <w:t>39</w:t>
      </w:r>
      <w:r w:rsidR="00607F8E" w:rsidRPr="00636F71">
        <w:fldChar w:fldCharType="end"/>
      </w:r>
      <w:r w:rsidR="00607F8E" w:rsidRPr="00636F71">
        <w:t xml:space="preserve">. On half of the trials, the two </w:t>
      </w:r>
      <w:r w:rsidR="00607F8E" w:rsidRPr="00636F71">
        <w:t>decisions were drawn from different domains (Perception and Memory, ‘Across-Domain Condition’), allowing us to test whether participants could compare their confidence across domain boundaries. On the other half, the two decisions were drawn from the same domain (e.g., Perception and Perception, ‘Within-Domain Condition’), which</w:t>
      </w:r>
      <w:r w:rsidRPr="003C4FF6">
        <w:t xml:space="preserve"> </w:t>
      </w:r>
      <w:r w:rsidRPr="00636F71">
        <w:t>served as a within-subjects control. In contrast to Experiment 1, we find that children from age 6 and adults can compare memory and perceptual confidence without any accuracy cost, suggesting generality in how confidence is converted to a scaled value.</w:t>
      </w:r>
    </w:p>
    <w:p w14:paraId="743B300A" w14:textId="72ADC500" w:rsidR="00184747" w:rsidRDefault="00607F8E" w:rsidP="005A785C">
      <w:pPr>
        <w:spacing w:line="240" w:lineRule="auto"/>
        <w:ind w:firstLine="0"/>
        <w:jc w:val="both"/>
        <w:sectPr w:rsidR="00184747" w:rsidSect="005A785C">
          <w:type w:val="continuous"/>
          <w:pgSz w:w="12240" w:h="15840"/>
          <w:pgMar w:top="1440" w:right="616" w:bottom="1440" w:left="567" w:header="708" w:footer="708" w:gutter="0"/>
          <w:cols w:num="2" w:space="708"/>
          <w:docGrid w:linePitch="360"/>
        </w:sectPr>
      </w:pPr>
      <w:r w:rsidRPr="00636F71">
        <w:t xml:space="preserve"> </w:t>
      </w:r>
    </w:p>
    <w:p w14:paraId="5A535709" w14:textId="4A3ECDA9" w:rsidR="00184747" w:rsidRDefault="00184747" w:rsidP="00184747">
      <w:pPr>
        <w:spacing w:line="240" w:lineRule="auto"/>
        <w:ind w:firstLine="0"/>
        <w:jc w:val="both"/>
      </w:pPr>
      <w:r w:rsidRPr="00184747">
        <w:rPr>
          <w:noProof/>
        </w:rPr>
        <w:lastRenderedPageBreak/>
        <w:drawing>
          <wp:inline distT="0" distB="0" distL="0" distR="0" wp14:anchorId="3A431524" wp14:editId="482EDBE7">
            <wp:extent cx="7021195" cy="4683125"/>
            <wp:effectExtent l="0" t="0" r="8255" b="3175"/>
            <wp:docPr id="13985193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1935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021195" cy="4683125"/>
                    </a:xfrm>
                    <a:prstGeom prst="rect">
                      <a:avLst/>
                    </a:prstGeom>
                  </pic:spPr>
                </pic:pic>
              </a:graphicData>
            </a:graphic>
          </wp:inline>
        </w:drawing>
      </w:r>
    </w:p>
    <w:p w14:paraId="3C8C9184" w14:textId="77777777" w:rsidR="00184747" w:rsidRDefault="00184747" w:rsidP="00184747">
      <w:pPr>
        <w:spacing w:line="240" w:lineRule="auto"/>
        <w:ind w:firstLine="0"/>
      </w:pPr>
    </w:p>
    <w:p w14:paraId="61FF54D7" w14:textId="66649A9E" w:rsidR="00184747" w:rsidRPr="003C4FF6" w:rsidRDefault="00184747" w:rsidP="00184747">
      <w:pPr>
        <w:spacing w:line="240" w:lineRule="auto"/>
        <w:ind w:firstLine="0"/>
        <w:rPr>
          <w:sz w:val="20"/>
          <w:szCs w:val="20"/>
        </w:rPr>
      </w:pPr>
      <w:r w:rsidRPr="003C4FF6">
        <w:rPr>
          <w:sz w:val="20"/>
          <w:szCs w:val="20"/>
        </w:rPr>
        <w:t xml:space="preserve">Figure 3. </w:t>
      </w:r>
      <w:r w:rsidRPr="003C4FF6">
        <w:rPr>
          <w:b/>
          <w:bCs/>
          <w:sz w:val="20"/>
          <w:szCs w:val="20"/>
        </w:rPr>
        <w:t>Stimuli used in Experiment 2A (Adults) and 2B (Children).</w:t>
      </w:r>
      <w:r w:rsidRPr="003C4FF6">
        <w:rPr>
          <w:sz w:val="20"/>
          <w:szCs w:val="20"/>
        </w:rPr>
        <w:t xml:space="preserve"> </w:t>
      </w:r>
    </w:p>
    <w:p w14:paraId="1B66AF33" w14:textId="77777777" w:rsidR="00184747" w:rsidRPr="003C4FF6" w:rsidRDefault="00184747" w:rsidP="00184747">
      <w:pPr>
        <w:spacing w:line="240" w:lineRule="auto"/>
        <w:ind w:firstLine="0"/>
        <w:rPr>
          <w:sz w:val="20"/>
          <w:szCs w:val="20"/>
        </w:rPr>
      </w:pPr>
      <w:r w:rsidRPr="003C4FF6">
        <w:rPr>
          <w:sz w:val="20"/>
          <w:szCs w:val="20"/>
        </w:rPr>
        <w:t>On Within-Domain trials, participants answered two questions from the same domain (Perception or Memory), then indicated which answer they were most confident in. In Across-Domain trials, participants answered one question from each domain.</w:t>
      </w:r>
    </w:p>
    <w:p w14:paraId="62F584E4" w14:textId="77777777" w:rsidR="00184747" w:rsidRDefault="00184747" w:rsidP="005A785C">
      <w:pPr>
        <w:spacing w:line="240" w:lineRule="auto"/>
        <w:ind w:firstLine="0"/>
        <w:jc w:val="both"/>
      </w:pPr>
    </w:p>
    <w:p w14:paraId="38EB16E4" w14:textId="5933FB78" w:rsidR="00184747" w:rsidRDefault="00184747" w:rsidP="005A785C">
      <w:pPr>
        <w:spacing w:line="240" w:lineRule="auto"/>
        <w:ind w:firstLine="0"/>
        <w:jc w:val="both"/>
        <w:sectPr w:rsidR="00184747" w:rsidSect="00184747">
          <w:type w:val="continuous"/>
          <w:pgSz w:w="12240" w:h="15840"/>
          <w:pgMar w:top="1440" w:right="616" w:bottom="1440" w:left="567" w:header="708" w:footer="708" w:gutter="0"/>
          <w:cols w:space="708"/>
          <w:docGrid w:linePitch="360"/>
        </w:sectPr>
      </w:pPr>
    </w:p>
    <w:p w14:paraId="4611E120" w14:textId="17BBFC9E" w:rsidR="00916CB1" w:rsidRPr="00636F71" w:rsidRDefault="00CC4041" w:rsidP="005A785C">
      <w:pPr>
        <w:pStyle w:val="Heading1"/>
        <w:spacing w:line="240" w:lineRule="auto"/>
        <w:jc w:val="both"/>
      </w:pPr>
      <w:r w:rsidRPr="00636F71">
        <w:t>Results</w:t>
      </w:r>
    </w:p>
    <w:p w14:paraId="548AEAB7" w14:textId="33863AB6" w:rsidR="00896813" w:rsidRPr="00636F71" w:rsidRDefault="00CC4041" w:rsidP="005A785C">
      <w:pPr>
        <w:pStyle w:val="Heading2"/>
        <w:spacing w:line="240" w:lineRule="auto"/>
        <w:jc w:val="both"/>
      </w:pPr>
      <w:r w:rsidRPr="00636F71">
        <w:t>Experiments 1A (Adults) and 1B (Children)</w:t>
      </w:r>
    </w:p>
    <w:p w14:paraId="27573C28" w14:textId="36DCED5D" w:rsidR="00572FE0" w:rsidRPr="00636F71" w:rsidRDefault="00572FE0" w:rsidP="005A785C">
      <w:pPr>
        <w:pStyle w:val="Heading3"/>
        <w:spacing w:line="240" w:lineRule="auto"/>
        <w:jc w:val="both"/>
      </w:pPr>
      <w:r w:rsidRPr="00636F71">
        <w:t>Memory and Perceptual Accuracy</w:t>
      </w:r>
    </w:p>
    <w:p w14:paraId="552F70E0" w14:textId="77777777" w:rsidR="003C4FF6" w:rsidRPr="00636F71" w:rsidRDefault="007F747B" w:rsidP="003C4FF6">
      <w:pPr>
        <w:spacing w:line="240" w:lineRule="auto"/>
        <w:ind w:firstLine="0"/>
        <w:jc w:val="both"/>
      </w:pPr>
      <w:r w:rsidRPr="00636F71">
        <w:t>Accurac</w:t>
      </w:r>
      <w:r w:rsidR="0088518B" w:rsidRPr="00636F71">
        <w:t>y scores</w:t>
      </w:r>
      <w:r w:rsidRPr="00636F71">
        <w:t xml:space="preserve"> were correlated between the Memory and Perceptual tasks for adults</w:t>
      </w:r>
      <w:r w:rsidR="00092C70" w:rsidRPr="00636F71">
        <w:t xml:space="preserve"> (N = 129)</w:t>
      </w:r>
      <w:r w:rsidRPr="00636F71">
        <w:t>,</w:t>
      </w:r>
      <w:r w:rsidR="00F35669" w:rsidRPr="00636F71">
        <w:t xml:space="preserve"> </w:t>
      </w:r>
      <w:r w:rsidR="00BF0864" w:rsidRPr="00636F71">
        <w:t>Spearman’s</w:t>
      </w:r>
      <w:r w:rsidRPr="00636F71">
        <w:t xml:space="preserve"> </w:t>
      </w:r>
      <w:r w:rsidR="00BF0864" w:rsidRPr="00636F71">
        <w:t>ρ</w:t>
      </w:r>
      <w:r w:rsidR="00FC736E" w:rsidRPr="00636F71">
        <w:t xml:space="preserve">(127) = </w:t>
      </w:r>
      <w:r w:rsidR="00BF0864" w:rsidRPr="00636F71">
        <w:t xml:space="preserve">.26, </w:t>
      </w:r>
      <w:r w:rsidR="00BF0864" w:rsidRPr="00636F71">
        <w:rPr>
          <w:i/>
          <w:iCs/>
        </w:rPr>
        <w:t>p</w:t>
      </w:r>
      <w:r w:rsidR="00BF0864" w:rsidRPr="00636F71">
        <w:t xml:space="preserve"> = .003, 95% CI = [0.08, 0.42]</w:t>
      </w:r>
      <w:r w:rsidR="009423AA" w:rsidRPr="00636F71">
        <w:t>, BF</w:t>
      </w:r>
      <w:r w:rsidR="009423AA" w:rsidRPr="00636F71">
        <w:rPr>
          <w:vertAlign w:val="subscript"/>
        </w:rPr>
        <w:t>10</w:t>
      </w:r>
      <w:r w:rsidR="009423AA" w:rsidRPr="00636F71">
        <w:t xml:space="preserve"> = </w:t>
      </w:r>
      <w:r w:rsidR="00057776" w:rsidRPr="00636F71">
        <w:t>8.19</w:t>
      </w:r>
      <w:r w:rsidRPr="00636F71">
        <w:t>,</w:t>
      </w:r>
      <w:r w:rsidR="00BC6FFA" w:rsidRPr="00636F71">
        <w:t xml:space="preserve"> </w:t>
      </w:r>
      <w:r w:rsidR="00157D74" w:rsidRPr="00636F71">
        <w:t>but not for</w:t>
      </w:r>
      <w:r w:rsidR="00092C70" w:rsidRPr="00636F71">
        <w:t xml:space="preserve"> 5-7-year-old</w:t>
      </w:r>
      <w:r w:rsidRPr="00636F71">
        <w:t xml:space="preserve"> children (</w:t>
      </w:r>
      <w:r w:rsidR="00092C70" w:rsidRPr="00636F71">
        <w:t xml:space="preserve">N = 131; </w:t>
      </w:r>
      <w:r w:rsidRPr="00636F71">
        <w:t>controlling for age),</w:t>
      </w:r>
      <w:r w:rsidR="00F35669" w:rsidRPr="00636F71">
        <w:t xml:space="preserve"> </w:t>
      </w:r>
      <w:r w:rsidR="007C2934" w:rsidRPr="00636F71">
        <w:t>Spearman’s</w:t>
      </w:r>
      <w:r w:rsidRPr="00636F71">
        <w:t xml:space="preserve"> </w:t>
      </w:r>
      <w:r w:rsidR="007C2934" w:rsidRPr="00636F71">
        <w:t>ρ</w:t>
      </w:r>
      <w:r w:rsidRPr="00636F71">
        <w:t>(12</w:t>
      </w:r>
      <w:r w:rsidR="00486808" w:rsidRPr="00636F71">
        <w:t>8</w:t>
      </w:r>
      <w:r w:rsidRPr="00636F71">
        <w:t>) = -.0</w:t>
      </w:r>
      <w:r w:rsidR="00486808" w:rsidRPr="00636F71">
        <w:t>3</w:t>
      </w:r>
      <w:r w:rsidRPr="00636F71">
        <w:t xml:space="preserve">, </w:t>
      </w:r>
      <w:r w:rsidRPr="00636F71">
        <w:rPr>
          <w:i/>
          <w:iCs/>
        </w:rPr>
        <w:t>p</w:t>
      </w:r>
      <w:r w:rsidRPr="00636F71">
        <w:t xml:space="preserve"> = </w:t>
      </w:r>
      <w:r w:rsidR="00486808" w:rsidRPr="00636F71">
        <w:t>1.000</w:t>
      </w:r>
      <w:r w:rsidR="0093098F" w:rsidRPr="00636F71">
        <w:t>,</w:t>
      </w:r>
      <w:r w:rsidR="007C2934" w:rsidRPr="00636F71">
        <w:t xml:space="preserve"> 95% CI = [-0.21, 0.15],</w:t>
      </w:r>
      <w:r w:rsidR="0093098F" w:rsidRPr="00636F71">
        <w:t xml:space="preserve"> BF</w:t>
      </w:r>
      <w:r w:rsidR="0093098F" w:rsidRPr="00636F71">
        <w:rPr>
          <w:vertAlign w:val="subscript"/>
        </w:rPr>
        <w:t>10</w:t>
      </w:r>
      <w:r w:rsidR="0093098F" w:rsidRPr="00636F71">
        <w:t xml:space="preserve"> = 0.12</w:t>
      </w:r>
      <w:r w:rsidR="00FC736E" w:rsidRPr="00636F71">
        <w:t xml:space="preserve"> (see Figure </w:t>
      </w:r>
      <w:r w:rsidR="00347281" w:rsidRPr="00636F71">
        <w:t>4</w:t>
      </w:r>
      <w:r w:rsidR="00FC736E" w:rsidRPr="00636F71">
        <w:t>)</w:t>
      </w:r>
      <w:r w:rsidRPr="00636F71">
        <w:t>.</w:t>
      </w:r>
      <w:r w:rsidR="00707F0F" w:rsidRPr="00636F71">
        <w:t xml:space="preserve"> See Table 1 for means and standard deviations.</w:t>
      </w:r>
      <w:bookmarkStart w:id="12" w:name="_Hlk213251526"/>
      <w:r w:rsidR="00622B82" w:rsidRPr="00636F71">
        <w:t xml:space="preserve"> </w:t>
      </w:r>
      <w:r w:rsidR="0039756A" w:rsidRPr="00636F71">
        <w:t xml:space="preserve">We preregistered conducting this analysis separately for younger and older participants due to stimulus differences, but deviated from our preregistration as we had to exclude 4-year-olds from the sample (see Methods). The values do not change in direction or </w:t>
      </w:r>
      <w:r w:rsidR="0039756A" w:rsidRPr="00636F71">
        <w:t>magnitude when analyzed as preregistered</w:t>
      </w:r>
      <w:r w:rsidR="0039756A">
        <w:t xml:space="preserve"> (see </w:t>
      </w:r>
      <w:r w:rsidR="00013263">
        <w:t>Preregistered Accuracy Correlations in the Supplemental Information</w:t>
      </w:r>
      <w:r w:rsidR="0039756A">
        <w:t>)</w:t>
      </w:r>
      <w:r w:rsidR="0039756A" w:rsidRPr="00636F71">
        <w:t>.</w:t>
      </w:r>
      <w:r w:rsidR="0039756A">
        <w:t xml:space="preserve"> </w:t>
      </w:r>
      <w:r w:rsidR="00AF42DE" w:rsidRPr="00636F71">
        <w:t xml:space="preserve">These correlations set a baseline for interpreting subsequent </w:t>
      </w:r>
      <w:r w:rsidR="003C4FF6" w:rsidRPr="00636F71">
        <w:t>analyses of metacognitive measures, expecting that any similarities in metacognitive reasoning would yield stronger results.</w:t>
      </w:r>
    </w:p>
    <w:p w14:paraId="24626843" w14:textId="77777777" w:rsidR="003C4FF6" w:rsidRPr="00636F71" w:rsidRDefault="003C4FF6" w:rsidP="003C4FF6">
      <w:pPr>
        <w:pStyle w:val="Heading3"/>
        <w:spacing w:line="240" w:lineRule="auto"/>
        <w:jc w:val="both"/>
      </w:pPr>
      <w:r w:rsidRPr="00636F71">
        <w:t>Confirmation of Metacognitive Abilities in Children</w:t>
      </w:r>
    </w:p>
    <w:p w14:paraId="3EBD295D" w14:textId="6B26F6E7" w:rsidR="003C4FF6" w:rsidRDefault="003C4FF6" w:rsidP="005A785C">
      <w:pPr>
        <w:spacing w:line="240" w:lineRule="auto"/>
        <w:jc w:val="both"/>
      </w:pPr>
      <w:r w:rsidRPr="00636F71">
        <w:t>We confirmed that children’s confidence was higher for correct than incorrect answers through separate 2 (Trial accuracy: Correct, Incorrect) by 3 (Age: 5, 6, 7) mixed ANOVAs on Confidence choices (3 = high confidence, 2 = medium confidence, 1 = low</w:t>
      </w:r>
      <w:r w:rsidRPr="003C4FF6">
        <w:t xml:space="preserve"> </w:t>
      </w:r>
      <w:r w:rsidRPr="00636F71">
        <w:t>confidence) in each task. For this analysis, we included all children who completed that task (n = 154</w:t>
      </w:r>
    </w:p>
    <w:p w14:paraId="089A160F" w14:textId="77777777" w:rsidR="00184747" w:rsidRDefault="00184747" w:rsidP="00184747">
      <w:pPr>
        <w:spacing w:line="240" w:lineRule="auto"/>
        <w:ind w:firstLine="0"/>
        <w:jc w:val="both"/>
        <w:sectPr w:rsidR="00184747" w:rsidSect="005A785C">
          <w:type w:val="continuous"/>
          <w:pgSz w:w="12240" w:h="15840"/>
          <w:pgMar w:top="1440" w:right="616" w:bottom="1440" w:left="567" w:header="708" w:footer="708" w:gutter="0"/>
          <w:cols w:num="2" w:space="708"/>
          <w:docGrid w:linePitch="360"/>
        </w:sectPr>
      </w:pPr>
    </w:p>
    <w:tbl>
      <w:tblPr>
        <w:tblW w:w="6772" w:type="dxa"/>
        <w:jc w:val="center"/>
        <w:tblLook w:val="04A0" w:firstRow="1" w:lastRow="0" w:firstColumn="1" w:lastColumn="0" w:noHBand="0" w:noVBand="1"/>
      </w:tblPr>
      <w:tblGrid>
        <w:gridCol w:w="1418"/>
        <w:gridCol w:w="1451"/>
        <w:gridCol w:w="1231"/>
        <w:gridCol w:w="694"/>
        <w:gridCol w:w="1267"/>
        <w:gridCol w:w="711"/>
      </w:tblGrid>
      <w:tr w:rsidR="00184747" w:rsidRPr="00636F71" w14:paraId="762E9866" w14:textId="77777777" w:rsidTr="00184747">
        <w:trPr>
          <w:trHeight w:val="288"/>
          <w:jc w:val="center"/>
        </w:trPr>
        <w:tc>
          <w:tcPr>
            <w:tcW w:w="6772" w:type="dxa"/>
            <w:gridSpan w:val="6"/>
            <w:tcBorders>
              <w:bottom w:val="single" w:sz="4" w:space="0" w:color="auto"/>
            </w:tcBorders>
            <w:noWrap/>
            <w:vAlign w:val="bottom"/>
          </w:tcPr>
          <w:p w14:paraId="789E9106" w14:textId="77777777" w:rsidR="00184747" w:rsidRPr="00636F71" w:rsidRDefault="00184747" w:rsidP="00A26D52">
            <w:pPr>
              <w:spacing w:line="240" w:lineRule="auto"/>
              <w:ind w:firstLine="0"/>
              <w:jc w:val="center"/>
              <w:rPr>
                <w:rFonts w:eastAsia="Times New Roman"/>
                <w:b/>
                <w:bCs/>
                <w:color w:val="000000"/>
                <w:sz w:val="22"/>
                <w:szCs w:val="22"/>
                <w:lang w:eastAsia="en-CA"/>
              </w:rPr>
            </w:pPr>
            <w:r w:rsidRPr="00636F71">
              <w:rPr>
                <w:rFonts w:eastAsia="Times New Roman"/>
                <w:b/>
                <w:bCs/>
                <w:color w:val="000000"/>
                <w:sz w:val="22"/>
                <w:szCs w:val="22"/>
                <w:lang w:eastAsia="en-CA"/>
              </w:rPr>
              <w:lastRenderedPageBreak/>
              <w:t>Experiment 1A &amp; 1B</w:t>
            </w:r>
          </w:p>
        </w:tc>
      </w:tr>
      <w:tr w:rsidR="00184747" w:rsidRPr="00636F71" w14:paraId="7AEA4A4A" w14:textId="77777777" w:rsidTr="00184747">
        <w:trPr>
          <w:trHeight w:val="288"/>
          <w:jc w:val="center"/>
        </w:trPr>
        <w:tc>
          <w:tcPr>
            <w:tcW w:w="1418" w:type="dxa"/>
            <w:tcBorders>
              <w:bottom w:val="single" w:sz="4" w:space="0" w:color="auto"/>
            </w:tcBorders>
            <w:noWrap/>
            <w:vAlign w:val="bottom"/>
            <w:hideMark/>
          </w:tcPr>
          <w:p w14:paraId="74997FC1" w14:textId="77777777" w:rsidR="00184747" w:rsidRPr="00636F71" w:rsidRDefault="00184747" w:rsidP="00A26D52">
            <w:pPr>
              <w:spacing w:line="240" w:lineRule="auto"/>
              <w:ind w:firstLine="0"/>
              <w:rPr>
                <w:rFonts w:eastAsia="Times New Roman"/>
                <w:b/>
                <w:bCs/>
                <w:color w:val="000000"/>
                <w:sz w:val="22"/>
                <w:szCs w:val="22"/>
                <w:lang w:eastAsia="en-CA"/>
              </w:rPr>
            </w:pPr>
            <w:r w:rsidRPr="00636F71">
              <w:rPr>
                <w:rFonts w:eastAsia="Times New Roman"/>
                <w:b/>
                <w:bCs/>
                <w:color w:val="000000"/>
                <w:sz w:val="22"/>
                <w:szCs w:val="22"/>
                <w:lang w:eastAsia="en-CA"/>
              </w:rPr>
              <w:t>Measure</w:t>
            </w:r>
          </w:p>
        </w:tc>
        <w:tc>
          <w:tcPr>
            <w:tcW w:w="1451" w:type="dxa"/>
            <w:tcBorders>
              <w:bottom w:val="single" w:sz="4" w:space="0" w:color="auto"/>
            </w:tcBorders>
            <w:noWrap/>
            <w:vAlign w:val="bottom"/>
            <w:hideMark/>
          </w:tcPr>
          <w:p w14:paraId="3FC7154F" w14:textId="77777777" w:rsidR="00184747" w:rsidRPr="00636F71" w:rsidRDefault="00184747" w:rsidP="00A26D52">
            <w:pPr>
              <w:spacing w:line="240" w:lineRule="auto"/>
              <w:ind w:firstLine="0"/>
              <w:rPr>
                <w:rFonts w:eastAsia="Times New Roman"/>
                <w:b/>
                <w:bCs/>
                <w:color w:val="000000"/>
                <w:sz w:val="22"/>
                <w:szCs w:val="22"/>
                <w:lang w:eastAsia="en-CA"/>
              </w:rPr>
            </w:pPr>
            <w:r w:rsidRPr="00636F71">
              <w:rPr>
                <w:rFonts w:eastAsia="Times New Roman"/>
                <w:b/>
                <w:bCs/>
                <w:color w:val="000000"/>
                <w:sz w:val="22"/>
                <w:szCs w:val="22"/>
                <w:lang w:eastAsia="en-CA"/>
              </w:rPr>
              <w:t>Age</w:t>
            </w:r>
          </w:p>
        </w:tc>
        <w:tc>
          <w:tcPr>
            <w:tcW w:w="1925" w:type="dxa"/>
            <w:gridSpan w:val="2"/>
            <w:tcBorders>
              <w:bottom w:val="single" w:sz="4" w:space="0" w:color="auto"/>
            </w:tcBorders>
            <w:noWrap/>
            <w:vAlign w:val="bottom"/>
            <w:hideMark/>
          </w:tcPr>
          <w:p w14:paraId="53895DD3" w14:textId="77777777" w:rsidR="00184747" w:rsidRPr="00636F71" w:rsidRDefault="00184747" w:rsidP="00A26D52">
            <w:pPr>
              <w:spacing w:line="240" w:lineRule="auto"/>
              <w:ind w:firstLine="0"/>
              <w:jc w:val="center"/>
              <w:rPr>
                <w:rFonts w:eastAsia="Times New Roman"/>
                <w:b/>
                <w:bCs/>
                <w:color w:val="000000"/>
                <w:sz w:val="22"/>
                <w:szCs w:val="22"/>
                <w:lang w:eastAsia="en-CA"/>
              </w:rPr>
            </w:pPr>
            <w:r w:rsidRPr="00636F71">
              <w:rPr>
                <w:rFonts w:eastAsia="Times New Roman"/>
                <w:b/>
                <w:bCs/>
                <w:color w:val="000000"/>
                <w:sz w:val="22"/>
                <w:szCs w:val="22"/>
                <w:lang w:eastAsia="en-CA"/>
              </w:rPr>
              <w:t>Memory</w:t>
            </w:r>
          </w:p>
        </w:tc>
        <w:tc>
          <w:tcPr>
            <w:tcW w:w="1978" w:type="dxa"/>
            <w:gridSpan w:val="2"/>
            <w:tcBorders>
              <w:bottom w:val="single" w:sz="4" w:space="0" w:color="auto"/>
            </w:tcBorders>
            <w:noWrap/>
            <w:vAlign w:val="bottom"/>
            <w:hideMark/>
          </w:tcPr>
          <w:p w14:paraId="57E15798" w14:textId="77777777" w:rsidR="00184747" w:rsidRPr="00636F71" w:rsidRDefault="00184747" w:rsidP="00A26D52">
            <w:pPr>
              <w:spacing w:line="240" w:lineRule="auto"/>
              <w:ind w:firstLine="0"/>
              <w:jc w:val="center"/>
              <w:rPr>
                <w:rFonts w:eastAsia="Times New Roman"/>
                <w:b/>
                <w:bCs/>
                <w:color w:val="000000"/>
                <w:sz w:val="22"/>
                <w:szCs w:val="22"/>
                <w:lang w:eastAsia="en-CA"/>
              </w:rPr>
            </w:pPr>
            <w:r w:rsidRPr="00636F71">
              <w:rPr>
                <w:rFonts w:eastAsia="Times New Roman"/>
                <w:b/>
                <w:bCs/>
                <w:color w:val="000000"/>
                <w:sz w:val="22"/>
                <w:szCs w:val="22"/>
                <w:lang w:eastAsia="en-CA"/>
              </w:rPr>
              <w:t>Perception</w:t>
            </w:r>
          </w:p>
        </w:tc>
      </w:tr>
      <w:tr w:rsidR="00184747" w:rsidRPr="00636F71" w14:paraId="7EB0B30E" w14:textId="77777777" w:rsidTr="00184747">
        <w:trPr>
          <w:trHeight w:val="288"/>
          <w:jc w:val="center"/>
        </w:trPr>
        <w:tc>
          <w:tcPr>
            <w:tcW w:w="2869" w:type="dxa"/>
            <w:gridSpan w:val="2"/>
            <w:tcBorders>
              <w:top w:val="single" w:sz="4" w:space="0" w:color="auto"/>
            </w:tcBorders>
            <w:noWrap/>
            <w:vAlign w:val="bottom"/>
            <w:hideMark/>
          </w:tcPr>
          <w:p w14:paraId="0931048E"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Task Performance</w:t>
            </w:r>
          </w:p>
        </w:tc>
        <w:tc>
          <w:tcPr>
            <w:tcW w:w="1231" w:type="dxa"/>
            <w:tcBorders>
              <w:top w:val="single" w:sz="4" w:space="0" w:color="auto"/>
              <w:bottom w:val="single" w:sz="4" w:space="0" w:color="auto"/>
            </w:tcBorders>
            <w:noWrap/>
            <w:vAlign w:val="bottom"/>
            <w:hideMark/>
          </w:tcPr>
          <w:p w14:paraId="38885EE1"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Accuracy</w:t>
            </w:r>
          </w:p>
        </w:tc>
        <w:tc>
          <w:tcPr>
            <w:tcW w:w="694" w:type="dxa"/>
            <w:tcBorders>
              <w:top w:val="single" w:sz="4" w:space="0" w:color="auto"/>
              <w:bottom w:val="single" w:sz="4" w:space="0" w:color="auto"/>
            </w:tcBorders>
            <w:noWrap/>
            <w:vAlign w:val="bottom"/>
            <w:hideMark/>
          </w:tcPr>
          <w:p w14:paraId="62ACA66B"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SD</w:t>
            </w:r>
          </w:p>
        </w:tc>
        <w:tc>
          <w:tcPr>
            <w:tcW w:w="1267" w:type="dxa"/>
            <w:tcBorders>
              <w:top w:val="single" w:sz="4" w:space="0" w:color="auto"/>
              <w:bottom w:val="single" w:sz="4" w:space="0" w:color="auto"/>
            </w:tcBorders>
            <w:noWrap/>
            <w:vAlign w:val="bottom"/>
            <w:hideMark/>
          </w:tcPr>
          <w:p w14:paraId="1479380E"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Accuracy</w:t>
            </w:r>
          </w:p>
        </w:tc>
        <w:tc>
          <w:tcPr>
            <w:tcW w:w="711" w:type="dxa"/>
            <w:tcBorders>
              <w:top w:val="single" w:sz="4" w:space="0" w:color="auto"/>
              <w:bottom w:val="single" w:sz="4" w:space="0" w:color="auto"/>
            </w:tcBorders>
            <w:noWrap/>
            <w:vAlign w:val="bottom"/>
            <w:hideMark/>
          </w:tcPr>
          <w:p w14:paraId="09683B1E"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SD</w:t>
            </w:r>
          </w:p>
        </w:tc>
      </w:tr>
      <w:tr w:rsidR="00184747" w:rsidRPr="00636F71" w14:paraId="1379F9F3" w14:textId="77777777" w:rsidTr="00184747">
        <w:trPr>
          <w:trHeight w:val="288"/>
          <w:jc w:val="center"/>
        </w:trPr>
        <w:tc>
          <w:tcPr>
            <w:tcW w:w="1418" w:type="dxa"/>
            <w:noWrap/>
            <w:vAlign w:val="bottom"/>
            <w:hideMark/>
          </w:tcPr>
          <w:p w14:paraId="5BD21306" w14:textId="77777777" w:rsidR="00184747" w:rsidRPr="00636F71" w:rsidRDefault="00184747" w:rsidP="00A26D52">
            <w:pPr>
              <w:spacing w:line="240" w:lineRule="auto"/>
              <w:ind w:firstLine="0"/>
              <w:rPr>
                <w:rFonts w:eastAsia="Times New Roman"/>
                <w:color w:val="000000"/>
                <w:sz w:val="22"/>
                <w:szCs w:val="22"/>
                <w:lang w:eastAsia="en-CA"/>
              </w:rPr>
            </w:pPr>
          </w:p>
        </w:tc>
        <w:tc>
          <w:tcPr>
            <w:tcW w:w="1451" w:type="dxa"/>
            <w:noWrap/>
            <w:vAlign w:val="bottom"/>
            <w:hideMark/>
          </w:tcPr>
          <w:p w14:paraId="2530BF99"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Adults</w:t>
            </w:r>
          </w:p>
        </w:tc>
        <w:tc>
          <w:tcPr>
            <w:tcW w:w="1231" w:type="dxa"/>
            <w:noWrap/>
            <w:vAlign w:val="bottom"/>
            <w:hideMark/>
          </w:tcPr>
          <w:p w14:paraId="5A331211"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73%</w:t>
            </w:r>
          </w:p>
        </w:tc>
        <w:tc>
          <w:tcPr>
            <w:tcW w:w="694" w:type="dxa"/>
            <w:tcBorders>
              <w:top w:val="single" w:sz="4" w:space="0" w:color="auto"/>
            </w:tcBorders>
            <w:noWrap/>
            <w:vAlign w:val="bottom"/>
            <w:hideMark/>
          </w:tcPr>
          <w:p w14:paraId="74490CEF"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7%</w:t>
            </w:r>
          </w:p>
        </w:tc>
        <w:tc>
          <w:tcPr>
            <w:tcW w:w="1267" w:type="dxa"/>
            <w:tcBorders>
              <w:top w:val="single" w:sz="4" w:space="0" w:color="auto"/>
            </w:tcBorders>
            <w:noWrap/>
            <w:vAlign w:val="bottom"/>
            <w:hideMark/>
          </w:tcPr>
          <w:p w14:paraId="31822935"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86%</w:t>
            </w:r>
          </w:p>
        </w:tc>
        <w:tc>
          <w:tcPr>
            <w:tcW w:w="711" w:type="dxa"/>
            <w:tcBorders>
              <w:top w:val="single" w:sz="4" w:space="0" w:color="auto"/>
            </w:tcBorders>
            <w:noWrap/>
            <w:vAlign w:val="bottom"/>
            <w:hideMark/>
          </w:tcPr>
          <w:p w14:paraId="69739DCF"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8%</w:t>
            </w:r>
          </w:p>
        </w:tc>
      </w:tr>
      <w:tr w:rsidR="00184747" w:rsidRPr="00636F71" w14:paraId="442DBCD9" w14:textId="77777777" w:rsidTr="00184747">
        <w:trPr>
          <w:trHeight w:val="288"/>
          <w:jc w:val="center"/>
        </w:trPr>
        <w:tc>
          <w:tcPr>
            <w:tcW w:w="1418" w:type="dxa"/>
            <w:noWrap/>
            <w:vAlign w:val="bottom"/>
            <w:hideMark/>
          </w:tcPr>
          <w:p w14:paraId="49769A65"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hideMark/>
          </w:tcPr>
          <w:p w14:paraId="660DFA98"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Children</w:t>
            </w:r>
          </w:p>
        </w:tc>
        <w:tc>
          <w:tcPr>
            <w:tcW w:w="1231" w:type="dxa"/>
            <w:noWrap/>
            <w:vAlign w:val="bottom"/>
            <w:hideMark/>
          </w:tcPr>
          <w:p w14:paraId="41537442"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68%</w:t>
            </w:r>
          </w:p>
        </w:tc>
        <w:tc>
          <w:tcPr>
            <w:tcW w:w="694" w:type="dxa"/>
            <w:noWrap/>
            <w:vAlign w:val="bottom"/>
            <w:hideMark/>
          </w:tcPr>
          <w:p w14:paraId="399FD60D"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8%</w:t>
            </w:r>
          </w:p>
        </w:tc>
        <w:tc>
          <w:tcPr>
            <w:tcW w:w="1267" w:type="dxa"/>
            <w:noWrap/>
            <w:vAlign w:val="bottom"/>
            <w:hideMark/>
          </w:tcPr>
          <w:p w14:paraId="43E394E7"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70%</w:t>
            </w:r>
          </w:p>
        </w:tc>
        <w:tc>
          <w:tcPr>
            <w:tcW w:w="711" w:type="dxa"/>
            <w:noWrap/>
            <w:vAlign w:val="bottom"/>
            <w:hideMark/>
          </w:tcPr>
          <w:p w14:paraId="0CD43624"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9%</w:t>
            </w:r>
          </w:p>
        </w:tc>
      </w:tr>
      <w:tr w:rsidR="00184747" w:rsidRPr="00636F71" w14:paraId="332AB6AC" w14:textId="77777777" w:rsidTr="00184747">
        <w:trPr>
          <w:trHeight w:val="288"/>
          <w:jc w:val="center"/>
        </w:trPr>
        <w:tc>
          <w:tcPr>
            <w:tcW w:w="1418" w:type="dxa"/>
            <w:noWrap/>
            <w:vAlign w:val="bottom"/>
            <w:hideMark/>
          </w:tcPr>
          <w:p w14:paraId="29B2AC65"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hideMark/>
          </w:tcPr>
          <w:p w14:paraId="468C772F" w14:textId="77777777" w:rsidR="00184747" w:rsidRPr="00636F71" w:rsidRDefault="00184747" w:rsidP="00A26D52">
            <w:pPr>
              <w:spacing w:line="240" w:lineRule="auto"/>
              <w:ind w:firstLine="0"/>
              <w:rPr>
                <w:rFonts w:eastAsia="Times New Roman"/>
                <w:sz w:val="22"/>
                <w:szCs w:val="22"/>
                <w:lang w:eastAsia="en-CA"/>
              </w:rPr>
            </w:pPr>
          </w:p>
        </w:tc>
        <w:tc>
          <w:tcPr>
            <w:tcW w:w="1231" w:type="dxa"/>
            <w:noWrap/>
            <w:vAlign w:val="bottom"/>
            <w:hideMark/>
          </w:tcPr>
          <w:p w14:paraId="15C50D69" w14:textId="77777777" w:rsidR="00184747" w:rsidRPr="00636F71" w:rsidRDefault="00184747" w:rsidP="00A26D52">
            <w:pPr>
              <w:spacing w:line="240" w:lineRule="auto"/>
              <w:ind w:firstLine="0"/>
              <w:rPr>
                <w:rFonts w:eastAsia="Times New Roman"/>
                <w:sz w:val="22"/>
                <w:szCs w:val="22"/>
                <w:lang w:eastAsia="en-CA"/>
              </w:rPr>
            </w:pPr>
          </w:p>
        </w:tc>
        <w:tc>
          <w:tcPr>
            <w:tcW w:w="694" w:type="dxa"/>
            <w:noWrap/>
            <w:vAlign w:val="bottom"/>
            <w:hideMark/>
          </w:tcPr>
          <w:p w14:paraId="43A025A0" w14:textId="77777777" w:rsidR="00184747" w:rsidRPr="00636F71" w:rsidRDefault="00184747" w:rsidP="00A26D52">
            <w:pPr>
              <w:spacing w:line="240" w:lineRule="auto"/>
              <w:ind w:firstLine="0"/>
              <w:rPr>
                <w:rFonts w:eastAsia="Times New Roman"/>
                <w:sz w:val="22"/>
                <w:szCs w:val="22"/>
                <w:lang w:eastAsia="en-CA"/>
              </w:rPr>
            </w:pPr>
          </w:p>
        </w:tc>
        <w:tc>
          <w:tcPr>
            <w:tcW w:w="1267" w:type="dxa"/>
            <w:noWrap/>
            <w:vAlign w:val="bottom"/>
            <w:hideMark/>
          </w:tcPr>
          <w:p w14:paraId="71D0329B" w14:textId="77777777" w:rsidR="00184747" w:rsidRPr="00636F71" w:rsidRDefault="00184747" w:rsidP="00A26D52">
            <w:pPr>
              <w:spacing w:line="240" w:lineRule="auto"/>
              <w:ind w:firstLine="0"/>
              <w:rPr>
                <w:rFonts w:eastAsia="Times New Roman"/>
                <w:sz w:val="22"/>
                <w:szCs w:val="22"/>
                <w:lang w:eastAsia="en-CA"/>
              </w:rPr>
            </w:pPr>
          </w:p>
        </w:tc>
        <w:tc>
          <w:tcPr>
            <w:tcW w:w="711" w:type="dxa"/>
            <w:noWrap/>
            <w:vAlign w:val="bottom"/>
            <w:hideMark/>
          </w:tcPr>
          <w:p w14:paraId="5B324916" w14:textId="77777777" w:rsidR="00184747" w:rsidRPr="00636F71" w:rsidRDefault="00184747" w:rsidP="00A26D52">
            <w:pPr>
              <w:spacing w:line="240" w:lineRule="auto"/>
              <w:ind w:firstLine="0"/>
              <w:rPr>
                <w:rFonts w:eastAsia="Times New Roman"/>
                <w:sz w:val="22"/>
                <w:szCs w:val="22"/>
                <w:lang w:eastAsia="en-CA"/>
              </w:rPr>
            </w:pPr>
          </w:p>
        </w:tc>
      </w:tr>
      <w:tr w:rsidR="00184747" w:rsidRPr="00636F71" w14:paraId="49453F52" w14:textId="77777777" w:rsidTr="00184747">
        <w:trPr>
          <w:trHeight w:val="288"/>
          <w:jc w:val="center"/>
        </w:trPr>
        <w:tc>
          <w:tcPr>
            <w:tcW w:w="2869" w:type="dxa"/>
            <w:gridSpan w:val="2"/>
            <w:noWrap/>
            <w:vAlign w:val="bottom"/>
            <w:hideMark/>
          </w:tcPr>
          <w:p w14:paraId="08AEAA9F"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Metacognitive Sensitivity</w:t>
            </w:r>
          </w:p>
        </w:tc>
        <w:tc>
          <w:tcPr>
            <w:tcW w:w="1231" w:type="dxa"/>
            <w:tcBorders>
              <w:bottom w:val="single" w:sz="4" w:space="0" w:color="auto"/>
            </w:tcBorders>
            <w:noWrap/>
            <w:vAlign w:val="bottom"/>
            <w:hideMark/>
          </w:tcPr>
          <w:p w14:paraId="2FD449D7"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Meta-d'</w:t>
            </w:r>
          </w:p>
        </w:tc>
        <w:tc>
          <w:tcPr>
            <w:tcW w:w="694" w:type="dxa"/>
            <w:tcBorders>
              <w:bottom w:val="single" w:sz="4" w:space="0" w:color="auto"/>
            </w:tcBorders>
            <w:noWrap/>
            <w:vAlign w:val="bottom"/>
            <w:hideMark/>
          </w:tcPr>
          <w:p w14:paraId="7E2179CB"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SD</w:t>
            </w:r>
          </w:p>
        </w:tc>
        <w:tc>
          <w:tcPr>
            <w:tcW w:w="1267" w:type="dxa"/>
            <w:tcBorders>
              <w:bottom w:val="single" w:sz="4" w:space="0" w:color="auto"/>
            </w:tcBorders>
            <w:noWrap/>
            <w:vAlign w:val="bottom"/>
            <w:hideMark/>
          </w:tcPr>
          <w:p w14:paraId="654A65E4"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Meta-d'</w:t>
            </w:r>
          </w:p>
        </w:tc>
        <w:tc>
          <w:tcPr>
            <w:tcW w:w="711" w:type="dxa"/>
            <w:tcBorders>
              <w:bottom w:val="single" w:sz="4" w:space="0" w:color="auto"/>
            </w:tcBorders>
            <w:noWrap/>
            <w:vAlign w:val="bottom"/>
            <w:hideMark/>
          </w:tcPr>
          <w:p w14:paraId="7233D37C"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SD</w:t>
            </w:r>
          </w:p>
        </w:tc>
      </w:tr>
      <w:tr w:rsidR="00184747" w:rsidRPr="00636F71" w14:paraId="18547F87" w14:textId="77777777" w:rsidTr="00184747">
        <w:trPr>
          <w:trHeight w:val="288"/>
          <w:jc w:val="center"/>
        </w:trPr>
        <w:tc>
          <w:tcPr>
            <w:tcW w:w="1418" w:type="dxa"/>
            <w:noWrap/>
            <w:vAlign w:val="bottom"/>
            <w:hideMark/>
          </w:tcPr>
          <w:p w14:paraId="009B0FA0" w14:textId="77777777" w:rsidR="00184747" w:rsidRPr="00636F71" w:rsidRDefault="00184747" w:rsidP="00A26D52">
            <w:pPr>
              <w:spacing w:line="240" w:lineRule="auto"/>
              <w:ind w:firstLine="0"/>
              <w:rPr>
                <w:rFonts w:eastAsia="Times New Roman"/>
                <w:color w:val="000000"/>
                <w:sz w:val="22"/>
                <w:szCs w:val="22"/>
                <w:lang w:eastAsia="en-CA"/>
              </w:rPr>
            </w:pPr>
          </w:p>
        </w:tc>
        <w:tc>
          <w:tcPr>
            <w:tcW w:w="1451" w:type="dxa"/>
            <w:noWrap/>
            <w:vAlign w:val="bottom"/>
            <w:hideMark/>
          </w:tcPr>
          <w:p w14:paraId="57B310A4"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Adults</w:t>
            </w:r>
          </w:p>
        </w:tc>
        <w:tc>
          <w:tcPr>
            <w:tcW w:w="1231" w:type="dxa"/>
            <w:noWrap/>
            <w:vAlign w:val="bottom"/>
            <w:hideMark/>
          </w:tcPr>
          <w:p w14:paraId="0B92412B"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1.45</w:t>
            </w:r>
          </w:p>
        </w:tc>
        <w:tc>
          <w:tcPr>
            <w:tcW w:w="694" w:type="dxa"/>
            <w:tcBorders>
              <w:top w:val="single" w:sz="4" w:space="0" w:color="auto"/>
            </w:tcBorders>
            <w:noWrap/>
            <w:vAlign w:val="bottom"/>
            <w:hideMark/>
          </w:tcPr>
          <w:p w14:paraId="04DAC88B"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0.57</w:t>
            </w:r>
          </w:p>
        </w:tc>
        <w:tc>
          <w:tcPr>
            <w:tcW w:w="1267" w:type="dxa"/>
            <w:tcBorders>
              <w:top w:val="single" w:sz="4" w:space="0" w:color="auto"/>
            </w:tcBorders>
            <w:noWrap/>
            <w:vAlign w:val="bottom"/>
            <w:hideMark/>
          </w:tcPr>
          <w:p w14:paraId="584C3FA1"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1.05</w:t>
            </w:r>
          </w:p>
        </w:tc>
        <w:tc>
          <w:tcPr>
            <w:tcW w:w="711" w:type="dxa"/>
            <w:tcBorders>
              <w:top w:val="single" w:sz="4" w:space="0" w:color="auto"/>
            </w:tcBorders>
            <w:noWrap/>
            <w:vAlign w:val="bottom"/>
            <w:hideMark/>
          </w:tcPr>
          <w:p w14:paraId="0031FA1B"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0.69</w:t>
            </w:r>
          </w:p>
        </w:tc>
      </w:tr>
      <w:tr w:rsidR="00184747" w:rsidRPr="00636F71" w14:paraId="0E4D6F4B" w14:textId="77777777" w:rsidTr="00184747">
        <w:trPr>
          <w:trHeight w:val="288"/>
          <w:jc w:val="center"/>
        </w:trPr>
        <w:tc>
          <w:tcPr>
            <w:tcW w:w="1418" w:type="dxa"/>
            <w:noWrap/>
            <w:vAlign w:val="bottom"/>
            <w:hideMark/>
          </w:tcPr>
          <w:p w14:paraId="7CAD2DD7"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hideMark/>
          </w:tcPr>
          <w:p w14:paraId="1AC48A79"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Children</w:t>
            </w:r>
          </w:p>
        </w:tc>
        <w:tc>
          <w:tcPr>
            <w:tcW w:w="1231" w:type="dxa"/>
            <w:noWrap/>
            <w:vAlign w:val="bottom"/>
            <w:hideMark/>
          </w:tcPr>
          <w:p w14:paraId="01010945"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0.74</w:t>
            </w:r>
          </w:p>
        </w:tc>
        <w:tc>
          <w:tcPr>
            <w:tcW w:w="694" w:type="dxa"/>
            <w:noWrap/>
            <w:vAlign w:val="bottom"/>
            <w:hideMark/>
          </w:tcPr>
          <w:p w14:paraId="1FCD5038"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0.78</w:t>
            </w:r>
          </w:p>
        </w:tc>
        <w:tc>
          <w:tcPr>
            <w:tcW w:w="1267" w:type="dxa"/>
            <w:noWrap/>
            <w:vAlign w:val="bottom"/>
            <w:hideMark/>
          </w:tcPr>
          <w:p w14:paraId="228B3802"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0.78</w:t>
            </w:r>
          </w:p>
        </w:tc>
        <w:tc>
          <w:tcPr>
            <w:tcW w:w="711" w:type="dxa"/>
            <w:noWrap/>
            <w:vAlign w:val="bottom"/>
            <w:hideMark/>
          </w:tcPr>
          <w:p w14:paraId="51F06487"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0.74</w:t>
            </w:r>
          </w:p>
        </w:tc>
      </w:tr>
      <w:tr w:rsidR="00184747" w:rsidRPr="00636F71" w14:paraId="1BEE26F3" w14:textId="77777777" w:rsidTr="00184747">
        <w:trPr>
          <w:trHeight w:val="288"/>
          <w:jc w:val="center"/>
        </w:trPr>
        <w:tc>
          <w:tcPr>
            <w:tcW w:w="1418" w:type="dxa"/>
            <w:noWrap/>
            <w:vAlign w:val="bottom"/>
            <w:hideMark/>
          </w:tcPr>
          <w:p w14:paraId="4BB33CC1"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hideMark/>
          </w:tcPr>
          <w:p w14:paraId="362E8DE8" w14:textId="77777777" w:rsidR="00184747" w:rsidRPr="00636F71" w:rsidRDefault="00184747" w:rsidP="00A26D52">
            <w:pPr>
              <w:spacing w:line="240" w:lineRule="auto"/>
              <w:ind w:firstLine="0"/>
              <w:rPr>
                <w:rFonts w:eastAsia="Times New Roman"/>
                <w:sz w:val="22"/>
                <w:szCs w:val="22"/>
                <w:lang w:eastAsia="en-CA"/>
              </w:rPr>
            </w:pPr>
          </w:p>
        </w:tc>
        <w:tc>
          <w:tcPr>
            <w:tcW w:w="1231" w:type="dxa"/>
            <w:noWrap/>
            <w:vAlign w:val="bottom"/>
            <w:hideMark/>
          </w:tcPr>
          <w:p w14:paraId="3306D64C" w14:textId="77777777" w:rsidR="00184747" w:rsidRPr="00636F71" w:rsidRDefault="00184747" w:rsidP="00A26D52">
            <w:pPr>
              <w:spacing w:line="240" w:lineRule="auto"/>
              <w:ind w:firstLine="0"/>
              <w:rPr>
                <w:rFonts w:eastAsia="Times New Roman"/>
                <w:sz w:val="22"/>
                <w:szCs w:val="22"/>
                <w:lang w:eastAsia="en-CA"/>
              </w:rPr>
            </w:pPr>
          </w:p>
        </w:tc>
        <w:tc>
          <w:tcPr>
            <w:tcW w:w="694" w:type="dxa"/>
            <w:noWrap/>
            <w:vAlign w:val="bottom"/>
            <w:hideMark/>
          </w:tcPr>
          <w:p w14:paraId="2857F35C" w14:textId="77777777" w:rsidR="00184747" w:rsidRPr="00636F71" w:rsidRDefault="00184747" w:rsidP="00A26D52">
            <w:pPr>
              <w:spacing w:line="240" w:lineRule="auto"/>
              <w:ind w:firstLine="0"/>
              <w:rPr>
                <w:rFonts w:eastAsia="Times New Roman"/>
                <w:sz w:val="22"/>
                <w:szCs w:val="22"/>
                <w:lang w:eastAsia="en-CA"/>
              </w:rPr>
            </w:pPr>
          </w:p>
        </w:tc>
        <w:tc>
          <w:tcPr>
            <w:tcW w:w="1267" w:type="dxa"/>
            <w:noWrap/>
            <w:vAlign w:val="bottom"/>
            <w:hideMark/>
          </w:tcPr>
          <w:p w14:paraId="511FCA6A" w14:textId="77777777" w:rsidR="00184747" w:rsidRPr="00636F71" w:rsidRDefault="00184747" w:rsidP="00A26D52">
            <w:pPr>
              <w:spacing w:line="240" w:lineRule="auto"/>
              <w:ind w:firstLine="0"/>
              <w:rPr>
                <w:rFonts w:eastAsia="Times New Roman"/>
                <w:sz w:val="22"/>
                <w:szCs w:val="22"/>
                <w:lang w:eastAsia="en-CA"/>
              </w:rPr>
            </w:pPr>
          </w:p>
        </w:tc>
        <w:tc>
          <w:tcPr>
            <w:tcW w:w="711" w:type="dxa"/>
            <w:noWrap/>
            <w:vAlign w:val="bottom"/>
            <w:hideMark/>
          </w:tcPr>
          <w:p w14:paraId="4BA534FA" w14:textId="77777777" w:rsidR="00184747" w:rsidRPr="00636F71" w:rsidRDefault="00184747" w:rsidP="00A26D52">
            <w:pPr>
              <w:spacing w:line="240" w:lineRule="auto"/>
              <w:ind w:firstLine="0"/>
              <w:rPr>
                <w:rFonts w:eastAsia="Times New Roman"/>
                <w:sz w:val="22"/>
                <w:szCs w:val="22"/>
                <w:lang w:eastAsia="en-CA"/>
              </w:rPr>
            </w:pPr>
          </w:p>
        </w:tc>
      </w:tr>
      <w:tr w:rsidR="00184747" w:rsidRPr="00636F71" w14:paraId="7CD7207B" w14:textId="77777777" w:rsidTr="00184747">
        <w:trPr>
          <w:trHeight w:val="288"/>
          <w:jc w:val="center"/>
        </w:trPr>
        <w:tc>
          <w:tcPr>
            <w:tcW w:w="2869" w:type="dxa"/>
            <w:gridSpan w:val="2"/>
            <w:noWrap/>
            <w:vAlign w:val="bottom"/>
            <w:hideMark/>
          </w:tcPr>
          <w:p w14:paraId="1A5900BC"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Metacognitive Efficiency</w:t>
            </w:r>
          </w:p>
        </w:tc>
        <w:tc>
          <w:tcPr>
            <w:tcW w:w="1231" w:type="dxa"/>
            <w:tcBorders>
              <w:bottom w:val="single" w:sz="4" w:space="0" w:color="auto"/>
            </w:tcBorders>
            <w:noWrap/>
            <w:vAlign w:val="bottom"/>
            <w:hideMark/>
          </w:tcPr>
          <w:p w14:paraId="637DF892"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MRatio</w:t>
            </w:r>
          </w:p>
        </w:tc>
        <w:tc>
          <w:tcPr>
            <w:tcW w:w="694" w:type="dxa"/>
            <w:tcBorders>
              <w:bottom w:val="single" w:sz="4" w:space="0" w:color="auto"/>
            </w:tcBorders>
            <w:noWrap/>
            <w:vAlign w:val="bottom"/>
            <w:hideMark/>
          </w:tcPr>
          <w:p w14:paraId="72B5F5CB"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SD</w:t>
            </w:r>
          </w:p>
        </w:tc>
        <w:tc>
          <w:tcPr>
            <w:tcW w:w="1267" w:type="dxa"/>
            <w:tcBorders>
              <w:bottom w:val="single" w:sz="4" w:space="0" w:color="auto"/>
            </w:tcBorders>
            <w:noWrap/>
            <w:vAlign w:val="bottom"/>
            <w:hideMark/>
          </w:tcPr>
          <w:p w14:paraId="49A35725"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MRatio</w:t>
            </w:r>
          </w:p>
        </w:tc>
        <w:tc>
          <w:tcPr>
            <w:tcW w:w="711" w:type="dxa"/>
            <w:tcBorders>
              <w:bottom w:val="single" w:sz="4" w:space="0" w:color="auto"/>
            </w:tcBorders>
            <w:noWrap/>
            <w:vAlign w:val="bottom"/>
            <w:hideMark/>
          </w:tcPr>
          <w:p w14:paraId="1A52FD96"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SD</w:t>
            </w:r>
          </w:p>
        </w:tc>
      </w:tr>
      <w:tr w:rsidR="00184747" w:rsidRPr="00636F71" w14:paraId="3290701B" w14:textId="77777777" w:rsidTr="00184747">
        <w:trPr>
          <w:trHeight w:val="288"/>
          <w:jc w:val="center"/>
        </w:trPr>
        <w:tc>
          <w:tcPr>
            <w:tcW w:w="1418" w:type="dxa"/>
            <w:noWrap/>
            <w:vAlign w:val="bottom"/>
            <w:hideMark/>
          </w:tcPr>
          <w:p w14:paraId="64060957" w14:textId="77777777" w:rsidR="00184747" w:rsidRPr="00636F71" w:rsidRDefault="00184747" w:rsidP="00A26D52">
            <w:pPr>
              <w:spacing w:line="240" w:lineRule="auto"/>
              <w:ind w:firstLine="0"/>
              <w:rPr>
                <w:rFonts w:eastAsia="Times New Roman"/>
                <w:color w:val="000000"/>
                <w:sz w:val="22"/>
                <w:szCs w:val="22"/>
                <w:lang w:eastAsia="en-CA"/>
              </w:rPr>
            </w:pPr>
          </w:p>
        </w:tc>
        <w:tc>
          <w:tcPr>
            <w:tcW w:w="1451" w:type="dxa"/>
            <w:noWrap/>
            <w:vAlign w:val="bottom"/>
            <w:hideMark/>
          </w:tcPr>
          <w:p w14:paraId="56A135C8"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Adults</w:t>
            </w:r>
          </w:p>
        </w:tc>
        <w:tc>
          <w:tcPr>
            <w:tcW w:w="1231" w:type="dxa"/>
            <w:noWrap/>
            <w:vAlign w:val="bottom"/>
            <w:hideMark/>
          </w:tcPr>
          <w:p w14:paraId="01991812"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1.25</w:t>
            </w:r>
          </w:p>
        </w:tc>
        <w:tc>
          <w:tcPr>
            <w:tcW w:w="694" w:type="dxa"/>
            <w:tcBorders>
              <w:top w:val="single" w:sz="4" w:space="0" w:color="auto"/>
            </w:tcBorders>
            <w:noWrap/>
            <w:vAlign w:val="bottom"/>
            <w:hideMark/>
          </w:tcPr>
          <w:p w14:paraId="693D18EB"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0.49</w:t>
            </w:r>
          </w:p>
        </w:tc>
        <w:tc>
          <w:tcPr>
            <w:tcW w:w="1267" w:type="dxa"/>
            <w:tcBorders>
              <w:top w:val="single" w:sz="4" w:space="0" w:color="auto"/>
            </w:tcBorders>
            <w:noWrap/>
            <w:vAlign w:val="bottom"/>
            <w:hideMark/>
          </w:tcPr>
          <w:p w14:paraId="67F1D9EB"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0.53</w:t>
            </w:r>
          </w:p>
        </w:tc>
        <w:tc>
          <w:tcPr>
            <w:tcW w:w="711" w:type="dxa"/>
            <w:tcBorders>
              <w:top w:val="single" w:sz="4" w:space="0" w:color="auto"/>
            </w:tcBorders>
            <w:noWrap/>
            <w:vAlign w:val="bottom"/>
            <w:hideMark/>
          </w:tcPr>
          <w:p w14:paraId="4441FCEA"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0.36</w:t>
            </w:r>
          </w:p>
        </w:tc>
      </w:tr>
      <w:tr w:rsidR="00184747" w:rsidRPr="00636F71" w14:paraId="5E741920" w14:textId="77777777" w:rsidTr="00184747">
        <w:trPr>
          <w:trHeight w:val="288"/>
          <w:jc w:val="center"/>
        </w:trPr>
        <w:tc>
          <w:tcPr>
            <w:tcW w:w="1418" w:type="dxa"/>
            <w:noWrap/>
            <w:vAlign w:val="bottom"/>
            <w:hideMark/>
          </w:tcPr>
          <w:p w14:paraId="6A298024"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hideMark/>
          </w:tcPr>
          <w:p w14:paraId="5525D818"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Children</w:t>
            </w:r>
          </w:p>
        </w:tc>
        <w:tc>
          <w:tcPr>
            <w:tcW w:w="1231" w:type="dxa"/>
            <w:noWrap/>
            <w:vAlign w:val="bottom"/>
            <w:hideMark/>
          </w:tcPr>
          <w:p w14:paraId="27DFE397"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0.89</w:t>
            </w:r>
          </w:p>
        </w:tc>
        <w:tc>
          <w:tcPr>
            <w:tcW w:w="694" w:type="dxa"/>
            <w:noWrap/>
            <w:vAlign w:val="bottom"/>
            <w:hideMark/>
          </w:tcPr>
          <w:p w14:paraId="532AEDA6"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1.20</w:t>
            </w:r>
          </w:p>
        </w:tc>
        <w:tc>
          <w:tcPr>
            <w:tcW w:w="1267" w:type="dxa"/>
            <w:noWrap/>
            <w:vAlign w:val="bottom"/>
            <w:hideMark/>
          </w:tcPr>
          <w:p w14:paraId="30EBD252"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0.83</w:t>
            </w:r>
          </w:p>
        </w:tc>
        <w:tc>
          <w:tcPr>
            <w:tcW w:w="711" w:type="dxa"/>
            <w:noWrap/>
            <w:vAlign w:val="bottom"/>
            <w:hideMark/>
          </w:tcPr>
          <w:p w14:paraId="61F06589"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0.98</w:t>
            </w:r>
          </w:p>
        </w:tc>
      </w:tr>
      <w:tr w:rsidR="00184747" w:rsidRPr="00636F71" w14:paraId="378A7C62" w14:textId="77777777" w:rsidTr="00184747">
        <w:trPr>
          <w:trHeight w:val="288"/>
          <w:jc w:val="center"/>
        </w:trPr>
        <w:tc>
          <w:tcPr>
            <w:tcW w:w="1418" w:type="dxa"/>
            <w:noWrap/>
            <w:vAlign w:val="bottom"/>
            <w:hideMark/>
          </w:tcPr>
          <w:p w14:paraId="26F4D118"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hideMark/>
          </w:tcPr>
          <w:p w14:paraId="190651D9" w14:textId="77777777" w:rsidR="00184747" w:rsidRPr="00636F71" w:rsidRDefault="00184747" w:rsidP="00A26D52">
            <w:pPr>
              <w:spacing w:line="240" w:lineRule="auto"/>
              <w:ind w:firstLine="0"/>
              <w:rPr>
                <w:rFonts w:eastAsia="Times New Roman"/>
                <w:sz w:val="22"/>
                <w:szCs w:val="22"/>
                <w:lang w:eastAsia="en-CA"/>
              </w:rPr>
            </w:pPr>
          </w:p>
        </w:tc>
        <w:tc>
          <w:tcPr>
            <w:tcW w:w="1231" w:type="dxa"/>
            <w:noWrap/>
            <w:vAlign w:val="bottom"/>
            <w:hideMark/>
          </w:tcPr>
          <w:p w14:paraId="227EBA4A" w14:textId="77777777" w:rsidR="00184747" w:rsidRPr="00636F71" w:rsidRDefault="00184747" w:rsidP="00A26D52">
            <w:pPr>
              <w:spacing w:line="240" w:lineRule="auto"/>
              <w:ind w:firstLine="0"/>
              <w:rPr>
                <w:rFonts w:eastAsia="Times New Roman"/>
                <w:sz w:val="22"/>
                <w:szCs w:val="22"/>
                <w:lang w:eastAsia="en-CA"/>
              </w:rPr>
            </w:pPr>
          </w:p>
        </w:tc>
        <w:tc>
          <w:tcPr>
            <w:tcW w:w="694" w:type="dxa"/>
            <w:noWrap/>
            <w:vAlign w:val="bottom"/>
            <w:hideMark/>
          </w:tcPr>
          <w:p w14:paraId="72BD7528" w14:textId="77777777" w:rsidR="00184747" w:rsidRPr="00636F71" w:rsidRDefault="00184747" w:rsidP="00A26D52">
            <w:pPr>
              <w:spacing w:line="240" w:lineRule="auto"/>
              <w:ind w:firstLine="0"/>
              <w:rPr>
                <w:rFonts w:eastAsia="Times New Roman"/>
                <w:sz w:val="22"/>
                <w:szCs w:val="22"/>
                <w:lang w:eastAsia="en-CA"/>
              </w:rPr>
            </w:pPr>
          </w:p>
        </w:tc>
        <w:tc>
          <w:tcPr>
            <w:tcW w:w="1267" w:type="dxa"/>
            <w:noWrap/>
            <w:vAlign w:val="bottom"/>
            <w:hideMark/>
          </w:tcPr>
          <w:p w14:paraId="69447C49" w14:textId="77777777" w:rsidR="00184747" w:rsidRPr="00636F71" w:rsidRDefault="00184747" w:rsidP="00A26D52">
            <w:pPr>
              <w:spacing w:line="240" w:lineRule="auto"/>
              <w:ind w:firstLine="0"/>
              <w:rPr>
                <w:rFonts w:eastAsia="Times New Roman"/>
                <w:sz w:val="22"/>
                <w:szCs w:val="22"/>
                <w:lang w:eastAsia="en-CA"/>
              </w:rPr>
            </w:pPr>
          </w:p>
        </w:tc>
        <w:tc>
          <w:tcPr>
            <w:tcW w:w="711" w:type="dxa"/>
            <w:noWrap/>
            <w:vAlign w:val="bottom"/>
            <w:hideMark/>
          </w:tcPr>
          <w:p w14:paraId="0360E6FF" w14:textId="77777777" w:rsidR="00184747" w:rsidRPr="00636F71" w:rsidRDefault="00184747" w:rsidP="00A26D52">
            <w:pPr>
              <w:spacing w:line="240" w:lineRule="auto"/>
              <w:ind w:firstLine="0"/>
              <w:rPr>
                <w:rFonts w:eastAsia="Times New Roman"/>
                <w:sz w:val="22"/>
                <w:szCs w:val="22"/>
                <w:lang w:eastAsia="en-CA"/>
              </w:rPr>
            </w:pPr>
          </w:p>
        </w:tc>
      </w:tr>
      <w:tr w:rsidR="00184747" w:rsidRPr="00636F71" w14:paraId="04A01BF6" w14:textId="77777777" w:rsidTr="00184747">
        <w:trPr>
          <w:trHeight w:val="288"/>
          <w:jc w:val="center"/>
        </w:trPr>
        <w:tc>
          <w:tcPr>
            <w:tcW w:w="2869" w:type="dxa"/>
            <w:gridSpan w:val="2"/>
            <w:noWrap/>
            <w:vAlign w:val="bottom"/>
            <w:hideMark/>
          </w:tcPr>
          <w:p w14:paraId="56D29AD6"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Metacognitive Bias</w:t>
            </w:r>
          </w:p>
        </w:tc>
        <w:tc>
          <w:tcPr>
            <w:tcW w:w="1231" w:type="dxa"/>
            <w:tcBorders>
              <w:bottom w:val="single" w:sz="4" w:space="0" w:color="auto"/>
            </w:tcBorders>
            <w:noWrap/>
            <w:vAlign w:val="bottom"/>
            <w:hideMark/>
          </w:tcPr>
          <w:p w14:paraId="688AD869"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Bias</w:t>
            </w:r>
          </w:p>
        </w:tc>
        <w:tc>
          <w:tcPr>
            <w:tcW w:w="694" w:type="dxa"/>
            <w:tcBorders>
              <w:bottom w:val="single" w:sz="4" w:space="0" w:color="auto"/>
            </w:tcBorders>
            <w:noWrap/>
            <w:vAlign w:val="bottom"/>
            <w:hideMark/>
          </w:tcPr>
          <w:p w14:paraId="319D17BA"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SD</w:t>
            </w:r>
          </w:p>
        </w:tc>
        <w:tc>
          <w:tcPr>
            <w:tcW w:w="1267" w:type="dxa"/>
            <w:tcBorders>
              <w:bottom w:val="single" w:sz="4" w:space="0" w:color="auto"/>
            </w:tcBorders>
            <w:noWrap/>
            <w:vAlign w:val="bottom"/>
            <w:hideMark/>
          </w:tcPr>
          <w:p w14:paraId="72A3FD67"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Bias</w:t>
            </w:r>
          </w:p>
        </w:tc>
        <w:tc>
          <w:tcPr>
            <w:tcW w:w="711" w:type="dxa"/>
            <w:tcBorders>
              <w:bottom w:val="single" w:sz="4" w:space="0" w:color="auto"/>
            </w:tcBorders>
            <w:noWrap/>
            <w:vAlign w:val="bottom"/>
            <w:hideMark/>
          </w:tcPr>
          <w:p w14:paraId="183D5986"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SD</w:t>
            </w:r>
          </w:p>
        </w:tc>
      </w:tr>
      <w:tr w:rsidR="00184747" w:rsidRPr="00636F71" w14:paraId="6F171AEA" w14:textId="77777777" w:rsidTr="00184747">
        <w:trPr>
          <w:trHeight w:val="288"/>
          <w:jc w:val="center"/>
        </w:trPr>
        <w:tc>
          <w:tcPr>
            <w:tcW w:w="1418" w:type="dxa"/>
            <w:noWrap/>
            <w:vAlign w:val="bottom"/>
            <w:hideMark/>
          </w:tcPr>
          <w:p w14:paraId="0D5D5B47" w14:textId="77777777" w:rsidR="00184747" w:rsidRPr="00636F71" w:rsidRDefault="00184747" w:rsidP="00A26D52">
            <w:pPr>
              <w:spacing w:line="240" w:lineRule="auto"/>
              <w:ind w:firstLine="0"/>
              <w:rPr>
                <w:rFonts w:eastAsia="Times New Roman"/>
                <w:color w:val="000000"/>
                <w:sz w:val="22"/>
                <w:szCs w:val="22"/>
                <w:lang w:eastAsia="en-CA"/>
              </w:rPr>
            </w:pPr>
          </w:p>
        </w:tc>
        <w:tc>
          <w:tcPr>
            <w:tcW w:w="1451" w:type="dxa"/>
            <w:noWrap/>
            <w:vAlign w:val="bottom"/>
            <w:hideMark/>
          </w:tcPr>
          <w:p w14:paraId="51835B07"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Adults</w:t>
            </w:r>
          </w:p>
        </w:tc>
        <w:tc>
          <w:tcPr>
            <w:tcW w:w="1231" w:type="dxa"/>
            <w:noWrap/>
            <w:vAlign w:val="bottom"/>
            <w:hideMark/>
          </w:tcPr>
          <w:p w14:paraId="37480A23"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5.49</w:t>
            </w:r>
          </w:p>
        </w:tc>
        <w:tc>
          <w:tcPr>
            <w:tcW w:w="694" w:type="dxa"/>
            <w:tcBorders>
              <w:top w:val="single" w:sz="4" w:space="0" w:color="auto"/>
            </w:tcBorders>
            <w:noWrap/>
            <w:vAlign w:val="bottom"/>
            <w:hideMark/>
          </w:tcPr>
          <w:p w14:paraId="61B9BE73"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7.16</w:t>
            </w:r>
          </w:p>
        </w:tc>
        <w:tc>
          <w:tcPr>
            <w:tcW w:w="1267" w:type="dxa"/>
            <w:tcBorders>
              <w:top w:val="single" w:sz="4" w:space="0" w:color="auto"/>
            </w:tcBorders>
            <w:noWrap/>
            <w:vAlign w:val="bottom"/>
            <w:hideMark/>
          </w:tcPr>
          <w:p w14:paraId="2DCC2489"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-9.51</w:t>
            </w:r>
          </w:p>
        </w:tc>
        <w:tc>
          <w:tcPr>
            <w:tcW w:w="711" w:type="dxa"/>
            <w:tcBorders>
              <w:top w:val="single" w:sz="4" w:space="0" w:color="auto"/>
            </w:tcBorders>
            <w:noWrap/>
            <w:vAlign w:val="bottom"/>
            <w:hideMark/>
          </w:tcPr>
          <w:p w14:paraId="0BA25EAF"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11.52</w:t>
            </w:r>
          </w:p>
        </w:tc>
      </w:tr>
      <w:tr w:rsidR="00184747" w:rsidRPr="00636F71" w14:paraId="4309F04E" w14:textId="77777777" w:rsidTr="00184747">
        <w:trPr>
          <w:trHeight w:val="288"/>
          <w:jc w:val="center"/>
        </w:trPr>
        <w:tc>
          <w:tcPr>
            <w:tcW w:w="1418" w:type="dxa"/>
            <w:noWrap/>
            <w:vAlign w:val="bottom"/>
            <w:hideMark/>
          </w:tcPr>
          <w:p w14:paraId="64707DD0"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hideMark/>
          </w:tcPr>
          <w:p w14:paraId="4A9789AD"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Children</w:t>
            </w:r>
          </w:p>
        </w:tc>
        <w:tc>
          <w:tcPr>
            <w:tcW w:w="1231" w:type="dxa"/>
            <w:noWrap/>
            <w:vAlign w:val="bottom"/>
            <w:hideMark/>
          </w:tcPr>
          <w:p w14:paraId="32898804"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25.74</w:t>
            </w:r>
          </w:p>
        </w:tc>
        <w:tc>
          <w:tcPr>
            <w:tcW w:w="694" w:type="dxa"/>
            <w:noWrap/>
            <w:vAlign w:val="bottom"/>
            <w:hideMark/>
          </w:tcPr>
          <w:p w14:paraId="6133D6F2"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9.77</w:t>
            </w:r>
          </w:p>
        </w:tc>
        <w:tc>
          <w:tcPr>
            <w:tcW w:w="1267" w:type="dxa"/>
            <w:noWrap/>
            <w:vAlign w:val="bottom"/>
            <w:hideMark/>
          </w:tcPr>
          <w:p w14:paraId="1CC9E56C"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24.68</w:t>
            </w:r>
          </w:p>
        </w:tc>
        <w:tc>
          <w:tcPr>
            <w:tcW w:w="711" w:type="dxa"/>
            <w:noWrap/>
            <w:vAlign w:val="bottom"/>
            <w:hideMark/>
          </w:tcPr>
          <w:p w14:paraId="08731C1B"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10.43</w:t>
            </w:r>
          </w:p>
        </w:tc>
      </w:tr>
      <w:tr w:rsidR="00184747" w:rsidRPr="00636F71" w14:paraId="63F9231C" w14:textId="77777777" w:rsidTr="00184747">
        <w:trPr>
          <w:trHeight w:val="288"/>
          <w:jc w:val="center"/>
        </w:trPr>
        <w:tc>
          <w:tcPr>
            <w:tcW w:w="1418" w:type="dxa"/>
            <w:noWrap/>
            <w:vAlign w:val="bottom"/>
          </w:tcPr>
          <w:p w14:paraId="6F54B886"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tcPr>
          <w:p w14:paraId="2037E4DE" w14:textId="77777777" w:rsidR="00184747" w:rsidRPr="00636F71" w:rsidRDefault="00184747" w:rsidP="00A26D52">
            <w:pPr>
              <w:spacing w:line="240" w:lineRule="auto"/>
              <w:ind w:firstLine="0"/>
              <w:rPr>
                <w:rFonts w:eastAsia="Times New Roman"/>
                <w:color w:val="000000"/>
                <w:sz w:val="22"/>
                <w:szCs w:val="22"/>
                <w:lang w:eastAsia="en-CA"/>
              </w:rPr>
            </w:pPr>
          </w:p>
        </w:tc>
        <w:tc>
          <w:tcPr>
            <w:tcW w:w="1231" w:type="dxa"/>
            <w:noWrap/>
            <w:vAlign w:val="bottom"/>
          </w:tcPr>
          <w:p w14:paraId="1B53D99D" w14:textId="77777777" w:rsidR="00184747" w:rsidRPr="00636F71" w:rsidRDefault="00184747" w:rsidP="00A26D52">
            <w:pPr>
              <w:spacing w:line="240" w:lineRule="auto"/>
              <w:ind w:firstLine="0"/>
              <w:rPr>
                <w:rFonts w:eastAsia="Times New Roman"/>
                <w:color w:val="000000"/>
                <w:sz w:val="22"/>
                <w:szCs w:val="22"/>
                <w:lang w:eastAsia="en-CA"/>
              </w:rPr>
            </w:pPr>
          </w:p>
        </w:tc>
        <w:tc>
          <w:tcPr>
            <w:tcW w:w="694" w:type="dxa"/>
            <w:noWrap/>
            <w:vAlign w:val="bottom"/>
          </w:tcPr>
          <w:p w14:paraId="7AD02204" w14:textId="77777777" w:rsidR="00184747" w:rsidRPr="00636F71" w:rsidRDefault="00184747" w:rsidP="00A26D52">
            <w:pPr>
              <w:spacing w:line="240" w:lineRule="auto"/>
              <w:ind w:firstLine="0"/>
              <w:rPr>
                <w:rFonts w:eastAsia="Times New Roman"/>
                <w:sz w:val="22"/>
                <w:szCs w:val="22"/>
                <w:lang w:eastAsia="en-CA"/>
              </w:rPr>
            </w:pPr>
          </w:p>
        </w:tc>
        <w:tc>
          <w:tcPr>
            <w:tcW w:w="1267" w:type="dxa"/>
            <w:noWrap/>
            <w:vAlign w:val="bottom"/>
          </w:tcPr>
          <w:p w14:paraId="1DB5E652" w14:textId="77777777" w:rsidR="00184747" w:rsidRPr="00636F71" w:rsidRDefault="00184747" w:rsidP="00A26D52">
            <w:pPr>
              <w:spacing w:line="240" w:lineRule="auto"/>
              <w:ind w:firstLine="0"/>
              <w:rPr>
                <w:rFonts w:eastAsia="Times New Roman"/>
                <w:sz w:val="22"/>
                <w:szCs w:val="22"/>
                <w:lang w:eastAsia="en-CA"/>
              </w:rPr>
            </w:pPr>
          </w:p>
        </w:tc>
        <w:tc>
          <w:tcPr>
            <w:tcW w:w="711" w:type="dxa"/>
            <w:noWrap/>
            <w:vAlign w:val="bottom"/>
          </w:tcPr>
          <w:p w14:paraId="66519CCC" w14:textId="77777777" w:rsidR="00184747" w:rsidRPr="00636F71" w:rsidRDefault="00184747" w:rsidP="00A26D52">
            <w:pPr>
              <w:spacing w:line="240" w:lineRule="auto"/>
              <w:ind w:firstLine="0"/>
              <w:rPr>
                <w:rFonts w:eastAsia="Times New Roman"/>
                <w:sz w:val="22"/>
                <w:szCs w:val="22"/>
                <w:lang w:eastAsia="en-CA"/>
              </w:rPr>
            </w:pPr>
          </w:p>
        </w:tc>
      </w:tr>
      <w:tr w:rsidR="00184747" w:rsidRPr="00636F71" w14:paraId="0AEEA5FE" w14:textId="77777777" w:rsidTr="00184747">
        <w:trPr>
          <w:trHeight w:val="288"/>
          <w:jc w:val="center"/>
        </w:trPr>
        <w:tc>
          <w:tcPr>
            <w:tcW w:w="2869" w:type="dxa"/>
            <w:gridSpan w:val="2"/>
            <w:noWrap/>
            <w:vAlign w:val="bottom"/>
          </w:tcPr>
          <w:p w14:paraId="67C4E3AD"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sz w:val="22"/>
                <w:szCs w:val="22"/>
                <w:lang w:eastAsia="en-CA"/>
              </w:rPr>
              <w:t>Confidence Rating</w:t>
            </w:r>
          </w:p>
        </w:tc>
        <w:tc>
          <w:tcPr>
            <w:tcW w:w="1231" w:type="dxa"/>
            <w:tcBorders>
              <w:bottom w:val="single" w:sz="4" w:space="0" w:color="auto"/>
            </w:tcBorders>
            <w:noWrap/>
            <w:vAlign w:val="bottom"/>
          </w:tcPr>
          <w:p w14:paraId="075F6361"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Confidence</w:t>
            </w:r>
          </w:p>
        </w:tc>
        <w:tc>
          <w:tcPr>
            <w:tcW w:w="694" w:type="dxa"/>
            <w:tcBorders>
              <w:bottom w:val="single" w:sz="4" w:space="0" w:color="auto"/>
            </w:tcBorders>
            <w:noWrap/>
            <w:vAlign w:val="bottom"/>
          </w:tcPr>
          <w:p w14:paraId="7174398E"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SD</w:t>
            </w:r>
          </w:p>
        </w:tc>
        <w:tc>
          <w:tcPr>
            <w:tcW w:w="1267" w:type="dxa"/>
            <w:tcBorders>
              <w:bottom w:val="single" w:sz="4" w:space="0" w:color="auto"/>
            </w:tcBorders>
            <w:noWrap/>
            <w:vAlign w:val="bottom"/>
          </w:tcPr>
          <w:p w14:paraId="12D0FB11"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Confidence</w:t>
            </w:r>
          </w:p>
        </w:tc>
        <w:tc>
          <w:tcPr>
            <w:tcW w:w="711" w:type="dxa"/>
            <w:tcBorders>
              <w:bottom w:val="single" w:sz="4" w:space="0" w:color="auto"/>
            </w:tcBorders>
            <w:noWrap/>
            <w:vAlign w:val="bottom"/>
          </w:tcPr>
          <w:p w14:paraId="763C8607"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SD</w:t>
            </w:r>
          </w:p>
        </w:tc>
      </w:tr>
      <w:tr w:rsidR="00184747" w:rsidRPr="00636F71" w14:paraId="1915FBC4" w14:textId="77777777" w:rsidTr="00184747">
        <w:trPr>
          <w:trHeight w:val="288"/>
          <w:jc w:val="center"/>
        </w:trPr>
        <w:tc>
          <w:tcPr>
            <w:tcW w:w="1418" w:type="dxa"/>
            <w:noWrap/>
            <w:vAlign w:val="bottom"/>
          </w:tcPr>
          <w:p w14:paraId="0062C709"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tcPr>
          <w:p w14:paraId="687A5BDD"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Adults</w:t>
            </w:r>
          </w:p>
        </w:tc>
        <w:tc>
          <w:tcPr>
            <w:tcW w:w="1231" w:type="dxa"/>
            <w:noWrap/>
            <w:vAlign w:val="bottom"/>
          </w:tcPr>
          <w:p w14:paraId="392324F3"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2.14</w:t>
            </w:r>
          </w:p>
        </w:tc>
        <w:tc>
          <w:tcPr>
            <w:tcW w:w="694" w:type="dxa"/>
            <w:tcBorders>
              <w:top w:val="single" w:sz="4" w:space="0" w:color="auto"/>
            </w:tcBorders>
            <w:noWrap/>
            <w:vAlign w:val="bottom"/>
          </w:tcPr>
          <w:p w14:paraId="144D4337"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0.23</w:t>
            </w:r>
          </w:p>
        </w:tc>
        <w:tc>
          <w:tcPr>
            <w:tcW w:w="1267" w:type="dxa"/>
            <w:tcBorders>
              <w:top w:val="single" w:sz="4" w:space="0" w:color="auto"/>
            </w:tcBorders>
            <w:noWrap/>
            <w:vAlign w:val="bottom"/>
          </w:tcPr>
          <w:p w14:paraId="73184CA6"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2.06</w:t>
            </w:r>
          </w:p>
        </w:tc>
        <w:tc>
          <w:tcPr>
            <w:tcW w:w="711" w:type="dxa"/>
            <w:tcBorders>
              <w:top w:val="single" w:sz="4" w:space="0" w:color="auto"/>
            </w:tcBorders>
            <w:noWrap/>
            <w:vAlign w:val="bottom"/>
          </w:tcPr>
          <w:p w14:paraId="06417AF0"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0.33</w:t>
            </w:r>
          </w:p>
        </w:tc>
      </w:tr>
      <w:tr w:rsidR="00184747" w:rsidRPr="00636F71" w14:paraId="45E769D8" w14:textId="77777777" w:rsidTr="00184747">
        <w:trPr>
          <w:trHeight w:val="288"/>
          <w:jc w:val="center"/>
        </w:trPr>
        <w:tc>
          <w:tcPr>
            <w:tcW w:w="1418" w:type="dxa"/>
            <w:noWrap/>
            <w:vAlign w:val="bottom"/>
          </w:tcPr>
          <w:p w14:paraId="7B6858FA"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tcPr>
          <w:p w14:paraId="6D2A79A9"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Children</w:t>
            </w:r>
          </w:p>
        </w:tc>
        <w:tc>
          <w:tcPr>
            <w:tcW w:w="1231" w:type="dxa"/>
            <w:noWrap/>
            <w:vAlign w:val="bottom"/>
          </w:tcPr>
          <w:p w14:paraId="118A3891"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2.45</w:t>
            </w:r>
          </w:p>
        </w:tc>
        <w:tc>
          <w:tcPr>
            <w:tcW w:w="694" w:type="dxa"/>
            <w:noWrap/>
            <w:vAlign w:val="bottom"/>
          </w:tcPr>
          <w:p w14:paraId="7EA8C300"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0.31</w:t>
            </w:r>
          </w:p>
        </w:tc>
        <w:tc>
          <w:tcPr>
            <w:tcW w:w="1267" w:type="dxa"/>
            <w:noWrap/>
            <w:vAlign w:val="bottom"/>
          </w:tcPr>
          <w:p w14:paraId="2B4DDD46"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2.49</w:t>
            </w:r>
          </w:p>
        </w:tc>
        <w:tc>
          <w:tcPr>
            <w:tcW w:w="711" w:type="dxa"/>
            <w:noWrap/>
            <w:vAlign w:val="bottom"/>
          </w:tcPr>
          <w:p w14:paraId="652E8D16"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sz w:val="22"/>
                <w:szCs w:val="22"/>
                <w:lang w:eastAsia="en-CA"/>
              </w:rPr>
              <w:t>0.33</w:t>
            </w:r>
          </w:p>
        </w:tc>
      </w:tr>
      <w:tr w:rsidR="00184747" w:rsidRPr="00636F71" w14:paraId="1FD6E2BF" w14:textId="77777777" w:rsidTr="00184747">
        <w:trPr>
          <w:trHeight w:val="288"/>
          <w:jc w:val="center"/>
        </w:trPr>
        <w:tc>
          <w:tcPr>
            <w:tcW w:w="1418" w:type="dxa"/>
            <w:noWrap/>
            <w:vAlign w:val="bottom"/>
          </w:tcPr>
          <w:p w14:paraId="59D4700A"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vAlign w:val="bottom"/>
          </w:tcPr>
          <w:p w14:paraId="45DB110A" w14:textId="77777777" w:rsidR="00184747" w:rsidRPr="00636F71" w:rsidRDefault="00184747" w:rsidP="00A26D52">
            <w:pPr>
              <w:spacing w:line="240" w:lineRule="auto"/>
              <w:ind w:firstLine="0"/>
              <w:rPr>
                <w:rFonts w:eastAsia="Times New Roman"/>
                <w:color w:val="000000"/>
                <w:sz w:val="22"/>
                <w:szCs w:val="22"/>
                <w:lang w:eastAsia="en-CA"/>
              </w:rPr>
            </w:pPr>
          </w:p>
        </w:tc>
        <w:tc>
          <w:tcPr>
            <w:tcW w:w="1231" w:type="dxa"/>
            <w:noWrap/>
            <w:vAlign w:val="bottom"/>
          </w:tcPr>
          <w:p w14:paraId="00298B92" w14:textId="77777777" w:rsidR="00184747" w:rsidRPr="00636F71" w:rsidRDefault="00184747" w:rsidP="00A26D52">
            <w:pPr>
              <w:spacing w:line="240" w:lineRule="auto"/>
              <w:ind w:firstLine="0"/>
              <w:rPr>
                <w:rFonts w:eastAsia="Times New Roman"/>
                <w:color w:val="000000"/>
                <w:sz w:val="22"/>
                <w:szCs w:val="22"/>
                <w:lang w:eastAsia="en-CA"/>
              </w:rPr>
            </w:pPr>
          </w:p>
        </w:tc>
        <w:tc>
          <w:tcPr>
            <w:tcW w:w="694" w:type="dxa"/>
            <w:noWrap/>
            <w:vAlign w:val="bottom"/>
          </w:tcPr>
          <w:p w14:paraId="54DC18D5" w14:textId="77777777" w:rsidR="00184747" w:rsidRPr="00636F71" w:rsidRDefault="00184747" w:rsidP="00A26D52">
            <w:pPr>
              <w:spacing w:line="240" w:lineRule="auto"/>
              <w:ind w:firstLine="0"/>
              <w:rPr>
                <w:rFonts w:eastAsia="Times New Roman"/>
                <w:sz w:val="22"/>
                <w:szCs w:val="22"/>
                <w:lang w:eastAsia="en-CA"/>
              </w:rPr>
            </w:pPr>
          </w:p>
        </w:tc>
        <w:tc>
          <w:tcPr>
            <w:tcW w:w="1267" w:type="dxa"/>
            <w:noWrap/>
            <w:vAlign w:val="bottom"/>
          </w:tcPr>
          <w:p w14:paraId="1AB19772" w14:textId="77777777" w:rsidR="00184747" w:rsidRPr="00636F71" w:rsidRDefault="00184747" w:rsidP="00A26D52">
            <w:pPr>
              <w:spacing w:line="240" w:lineRule="auto"/>
              <w:ind w:firstLine="0"/>
              <w:rPr>
                <w:rFonts w:eastAsia="Times New Roman"/>
                <w:sz w:val="22"/>
                <w:szCs w:val="22"/>
                <w:lang w:eastAsia="en-CA"/>
              </w:rPr>
            </w:pPr>
          </w:p>
        </w:tc>
        <w:tc>
          <w:tcPr>
            <w:tcW w:w="711" w:type="dxa"/>
            <w:noWrap/>
            <w:vAlign w:val="bottom"/>
          </w:tcPr>
          <w:p w14:paraId="2A0BC024" w14:textId="77777777" w:rsidR="00184747" w:rsidRPr="00636F71" w:rsidRDefault="00184747" w:rsidP="00A26D52">
            <w:pPr>
              <w:spacing w:line="240" w:lineRule="auto"/>
              <w:ind w:firstLine="0"/>
              <w:rPr>
                <w:rFonts w:eastAsia="Times New Roman"/>
                <w:sz w:val="22"/>
                <w:szCs w:val="22"/>
                <w:lang w:eastAsia="en-CA"/>
              </w:rPr>
            </w:pPr>
          </w:p>
        </w:tc>
      </w:tr>
      <w:tr w:rsidR="00184747" w:rsidRPr="00636F71" w14:paraId="60BFAB7F" w14:textId="77777777" w:rsidTr="00184747">
        <w:trPr>
          <w:trHeight w:val="288"/>
          <w:jc w:val="center"/>
        </w:trPr>
        <w:tc>
          <w:tcPr>
            <w:tcW w:w="6772" w:type="dxa"/>
            <w:gridSpan w:val="6"/>
            <w:tcBorders>
              <w:bottom w:val="single" w:sz="4" w:space="0" w:color="auto"/>
            </w:tcBorders>
            <w:noWrap/>
            <w:vAlign w:val="bottom"/>
          </w:tcPr>
          <w:p w14:paraId="11C57FAC" w14:textId="77777777" w:rsidR="00184747" w:rsidRPr="00636F71" w:rsidRDefault="00184747" w:rsidP="00A26D52">
            <w:pPr>
              <w:spacing w:line="240" w:lineRule="auto"/>
              <w:ind w:firstLine="0"/>
              <w:jc w:val="center"/>
              <w:rPr>
                <w:rFonts w:eastAsia="Times New Roman"/>
                <w:b/>
                <w:bCs/>
                <w:sz w:val="22"/>
                <w:szCs w:val="22"/>
                <w:lang w:eastAsia="en-CA"/>
              </w:rPr>
            </w:pPr>
            <w:r w:rsidRPr="00636F71">
              <w:rPr>
                <w:rFonts w:eastAsia="Times New Roman"/>
                <w:b/>
                <w:bCs/>
                <w:sz w:val="22"/>
                <w:szCs w:val="22"/>
                <w:lang w:eastAsia="en-CA"/>
              </w:rPr>
              <w:t>Experiment 2A &amp; 2B</w:t>
            </w:r>
          </w:p>
        </w:tc>
      </w:tr>
      <w:tr w:rsidR="00184747" w:rsidRPr="00636F71" w14:paraId="28B7A099" w14:textId="77777777" w:rsidTr="00184747">
        <w:trPr>
          <w:trHeight w:val="288"/>
          <w:jc w:val="center"/>
        </w:trPr>
        <w:tc>
          <w:tcPr>
            <w:tcW w:w="1418" w:type="dxa"/>
            <w:tcBorders>
              <w:top w:val="single" w:sz="4" w:space="0" w:color="auto"/>
              <w:bottom w:val="single" w:sz="4" w:space="0" w:color="auto"/>
            </w:tcBorders>
            <w:noWrap/>
            <w:vAlign w:val="bottom"/>
          </w:tcPr>
          <w:p w14:paraId="342301F3"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b/>
                <w:bCs/>
                <w:color w:val="000000"/>
                <w:sz w:val="22"/>
                <w:szCs w:val="22"/>
                <w:lang w:eastAsia="en-CA"/>
              </w:rPr>
              <w:t>Measure</w:t>
            </w:r>
          </w:p>
        </w:tc>
        <w:tc>
          <w:tcPr>
            <w:tcW w:w="1451" w:type="dxa"/>
            <w:tcBorders>
              <w:top w:val="single" w:sz="4" w:space="0" w:color="auto"/>
              <w:bottom w:val="single" w:sz="4" w:space="0" w:color="auto"/>
            </w:tcBorders>
            <w:noWrap/>
            <w:vAlign w:val="bottom"/>
          </w:tcPr>
          <w:p w14:paraId="3E0EA6D0"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b/>
                <w:bCs/>
                <w:color w:val="000000"/>
                <w:sz w:val="22"/>
                <w:szCs w:val="22"/>
                <w:lang w:eastAsia="en-CA"/>
              </w:rPr>
              <w:t>Age</w:t>
            </w:r>
          </w:p>
        </w:tc>
        <w:tc>
          <w:tcPr>
            <w:tcW w:w="1925" w:type="dxa"/>
            <w:gridSpan w:val="2"/>
            <w:tcBorders>
              <w:top w:val="single" w:sz="4" w:space="0" w:color="auto"/>
              <w:bottom w:val="single" w:sz="4" w:space="0" w:color="auto"/>
            </w:tcBorders>
            <w:noWrap/>
            <w:vAlign w:val="bottom"/>
          </w:tcPr>
          <w:p w14:paraId="532243BE" w14:textId="77777777" w:rsidR="00184747" w:rsidRPr="00636F71" w:rsidRDefault="00184747" w:rsidP="00A26D52">
            <w:pPr>
              <w:spacing w:line="240" w:lineRule="auto"/>
              <w:ind w:firstLine="0"/>
              <w:jc w:val="center"/>
              <w:rPr>
                <w:rFonts w:eastAsia="Times New Roman"/>
                <w:sz w:val="22"/>
                <w:szCs w:val="22"/>
                <w:lang w:eastAsia="en-CA"/>
              </w:rPr>
            </w:pPr>
            <w:r w:rsidRPr="00636F71">
              <w:rPr>
                <w:rFonts w:eastAsia="Times New Roman"/>
                <w:b/>
                <w:bCs/>
                <w:color w:val="000000"/>
                <w:sz w:val="22"/>
                <w:szCs w:val="22"/>
                <w:lang w:eastAsia="en-CA"/>
              </w:rPr>
              <w:t>Memory</w:t>
            </w:r>
          </w:p>
        </w:tc>
        <w:tc>
          <w:tcPr>
            <w:tcW w:w="1978" w:type="dxa"/>
            <w:gridSpan w:val="2"/>
            <w:tcBorders>
              <w:top w:val="single" w:sz="4" w:space="0" w:color="auto"/>
              <w:bottom w:val="single" w:sz="4" w:space="0" w:color="auto"/>
            </w:tcBorders>
            <w:noWrap/>
            <w:vAlign w:val="bottom"/>
          </w:tcPr>
          <w:p w14:paraId="648DA31E" w14:textId="77777777" w:rsidR="00184747" w:rsidRPr="00636F71" w:rsidRDefault="00184747" w:rsidP="00A26D52">
            <w:pPr>
              <w:spacing w:line="240" w:lineRule="auto"/>
              <w:ind w:firstLine="0"/>
              <w:jc w:val="center"/>
              <w:rPr>
                <w:rFonts w:eastAsia="Times New Roman"/>
                <w:sz w:val="22"/>
                <w:szCs w:val="22"/>
                <w:lang w:eastAsia="en-CA"/>
              </w:rPr>
            </w:pPr>
            <w:r w:rsidRPr="00636F71">
              <w:rPr>
                <w:rFonts w:eastAsia="Times New Roman"/>
                <w:b/>
                <w:bCs/>
                <w:color w:val="000000"/>
                <w:sz w:val="22"/>
                <w:szCs w:val="22"/>
                <w:lang w:eastAsia="en-CA"/>
              </w:rPr>
              <w:t>Perception</w:t>
            </w:r>
          </w:p>
        </w:tc>
      </w:tr>
      <w:tr w:rsidR="00184747" w:rsidRPr="00636F71" w14:paraId="40F78475" w14:textId="77777777" w:rsidTr="00184747">
        <w:trPr>
          <w:trHeight w:val="288"/>
          <w:jc w:val="center"/>
        </w:trPr>
        <w:tc>
          <w:tcPr>
            <w:tcW w:w="2869" w:type="dxa"/>
            <w:gridSpan w:val="2"/>
            <w:tcBorders>
              <w:top w:val="single" w:sz="4" w:space="0" w:color="auto"/>
            </w:tcBorders>
            <w:noWrap/>
            <w:vAlign w:val="bottom"/>
          </w:tcPr>
          <w:p w14:paraId="2798DA3C"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Task Performance</w:t>
            </w:r>
          </w:p>
        </w:tc>
        <w:tc>
          <w:tcPr>
            <w:tcW w:w="1231" w:type="dxa"/>
            <w:tcBorders>
              <w:top w:val="single" w:sz="4" w:space="0" w:color="auto"/>
              <w:bottom w:val="single" w:sz="4" w:space="0" w:color="auto"/>
            </w:tcBorders>
            <w:noWrap/>
            <w:vAlign w:val="bottom"/>
          </w:tcPr>
          <w:p w14:paraId="2DF902AB" w14:textId="77777777" w:rsidR="00184747" w:rsidRPr="00636F71" w:rsidRDefault="00184747" w:rsidP="00A26D52">
            <w:pPr>
              <w:spacing w:line="240" w:lineRule="auto"/>
              <w:ind w:firstLine="0"/>
              <w:rPr>
                <w:rFonts w:eastAsia="Times New Roman"/>
                <w:color w:val="000000"/>
                <w:sz w:val="22"/>
                <w:szCs w:val="22"/>
                <w:lang w:eastAsia="en-CA"/>
              </w:rPr>
            </w:pPr>
            <w:r w:rsidRPr="00636F71">
              <w:rPr>
                <w:rFonts w:eastAsia="Times New Roman"/>
                <w:color w:val="000000"/>
                <w:sz w:val="22"/>
                <w:szCs w:val="22"/>
                <w:lang w:eastAsia="en-CA"/>
              </w:rPr>
              <w:t>Accuracy</w:t>
            </w:r>
          </w:p>
        </w:tc>
        <w:tc>
          <w:tcPr>
            <w:tcW w:w="694" w:type="dxa"/>
            <w:tcBorders>
              <w:top w:val="single" w:sz="4" w:space="0" w:color="auto"/>
              <w:bottom w:val="single" w:sz="4" w:space="0" w:color="auto"/>
            </w:tcBorders>
            <w:noWrap/>
            <w:vAlign w:val="bottom"/>
          </w:tcPr>
          <w:p w14:paraId="44E82FEA"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color w:val="000000"/>
                <w:sz w:val="22"/>
                <w:szCs w:val="22"/>
                <w:lang w:eastAsia="en-CA"/>
              </w:rPr>
              <w:t>SD</w:t>
            </w:r>
          </w:p>
        </w:tc>
        <w:tc>
          <w:tcPr>
            <w:tcW w:w="1267" w:type="dxa"/>
            <w:tcBorders>
              <w:top w:val="single" w:sz="4" w:space="0" w:color="auto"/>
              <w:bottom w:val="single" w:sz="4" w:space="0" w:color="auto"/>
            </w:tcBorders>
            <w:noWrap/>
            <w:vAlign w:val="bottom"/>
          </w:tcPr>
          <w:p w14:paraId="1A82FD06"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color w:val="000000"/>
                <w:sz w:val="22"/>
                <w:szCs w:val="22"/>
                <w:lang w:eastAsia="en-CA"/>
              </w:rPr>
              <w:t>Accuracy</w:t>
            </w:r>
          </w:p>
        </w:tc>
        <w:tc>
          <w:tcPr>
            <w:tcW w:w="711" w:type="dxa"/>
            <w:tcBorders>
              <w:top w:val="single" w:sz="4" w:space="0" w:color="auto"/>
              <w:bottom w:val="single" w:sz="4" w:space="0" w:color="auto"/>
            </w:tcBorders>
            <w:noWrap/>
            <w:vAlign w:val="bottom"/>
          </w:tcPr>
          <w:p w14:paraId="2E31A0EE" w14:textId="77777777" w:rsidR="00184747" w:rsidRPr="00636F71" w:rsidRDefault="00184747" w:rsidP="00A26D52">
            <w:pPr>
              <w:spacing w:line="240" w:lineRule="auto"/>
              <w:ind w:firstLine="0"/>
              <w:rPr>
                <w:rFonts w:eastAsia="Times New Roman"/>
                <w:sz w:val="22"/>
                <w:szCs w:val="22"/>
                <w:lang w:eastAsia="en-CA"/>
              </w:rPr>
            </w:pPr>
            <w:r w:rsidRPr="00636F71">
              <w:rPr>
                <w:rFonts w:eastAsia="Times New Roman"/>
                <w:color w:val="000000"/>
                <w:sz w:val="22"/>
                <w:szCs w:val="22"/>
                <w:lang w:eastAsia="en-CA"/>
              </w:rPr>
              <w:t>SD</w:t>
            </w:r>
          </w:p>
        </w:tc>
      </w:tr>
      <w:tr w:rsidR="00184747" w:rsidRPr="00636F71" w14:paraId="786E5666" w14:textId="77777777" w:rsidTr="00184747">
        <w:trPr>
          <w:trHeight w:val="288"/>
          <w:jc w:val="center"/>
        </w:trPr>
        <w:tc>
          <w:tcPr>
            <w:tcW w:w="1418" w:type="dxa"/>
            <w:noWrap/>
            <w:vAlign w:val="bottom"/>
          </w:tcPr>
          <w:p w14:paraId="72A1469B" w14:textId="77777777" w:rsidR="00184747" w:rsidRPr="00636F71" w:rsidRDefault="00184747" w:rsidP="00A26D52">
            <w:pPr>
              <w:spacing w:line="240" w:lineRule="auto"/>
              <w:ind w:firstLine="0"/>
              <w:rPr>
                <w:rFonts w:eastAsia="Times New Roman"/>
                <w:sz w:val="22"/>
                <w:szCs w:val="22"/>
                <w:lang w:eastAsia="en-CA"/>
              </w:rPr>
            </w:pPr>
          </w:p>
        </w:tc>
        <w:tc>
          <w:tcPr>
            <w:tcW w:w="1451" w:type="dxa"/>
            <w:noWrap/>
          </w:tcPr>
          <w:p w14:paraId="301E9ACD" w14:textId="77777777" w:rsidR="00184747" w:rsidRPr="00636F71" w:rsidRDefault="00184747" w:rsidP="00A26D52">
            <w:pPr>
              <w:spacing w:line="240" w:lineRule="auto"/>
              <w:ind w:firstLine="0"/>
              <w:rPr>
                <w:rFonts w:eastAsia="Times New Roman"/>
                <w:color w:val="000000"/>
                <w:sz w:val="22"/>
                <w:szCs w:val="22"/>
                <w:lang w:eastAsia="en-CA"/>
              </w:rPr>
            </w:pPr>
            <w:r w:rsidRPr="00636F71">
              <w:rPr>
                <w:sz w:val="22"/>
                <w:szCs w:val="22"/>
              </w:rPr>
              <w:t>Adults</w:t>
            </w:r>
          </w:p>
        </w:tc>
        <w:tc>
          <w:tcPr>
            <w:tcW w:w="1231" w:type="dxa"/>
            <w:noWrap/>
          </w:tcPr>
          <w:p w14:paraId="212572EE" w14:textId="77777777" w:rsidR="00184747" w:rsidRPr="00636F71" w:rsidRDefault="00184747" w:rsidP="00A26D52">
            <w:pPr>
              <w:spacing w:line="240" w:lineRule="auto"/>
              <w:ind w:firstLine="0"/>
              <w:rPr>
                <w:rFonts w:eastAsia="Times New Roman"/>
                <w:color w:val="000000"/>
                <w:sz w:val="22"/>
                <w:szCs w:val="22"/>
                <w:lang w:eastAsia="en-CA"/>
              </w:rPr>
            </w:pPr>
            <w:r w:rsidRPr="00636F71">
              <w:rPr>
                <w:sz w:val="22"/>
                <w:szCs w:val="22"/>
              </w:rPr>
              <w:t>82%</w:t>
            </w:r>
          </w:p>
        </w:tc>
        <w:tc>
          <w:tcPr>
            <w:tcW w:w="694" w:type="dxa"/>
            <w:tcBorders>
              <w:top w:val="single" w:sz="4" w:space="0" w:color="auto"/>
            </w:tcBorders>
            <w:noWrap/>
          </w:tcPr>
          <w:p w14:paraId="34B6E0BD" w14:textId="77777777" w:rsidR="00184747" w:rsidRPr="00636F71" w:rsidRDefault="00184747" w:rsidP="00A26D52">
            <w:pPr>
              <w:spacing w:line="240" w:lineRule="auto"/>
              <w:ind w:firstLine="0"/>
              <w:rPr>
                <w:rFonts w:eastAsia="Times New Roman"/>
                <w:sz w:val="22"/>
                <w:szCs w:val="22"/>
                <w:lang w:eastAsia="en-CA"/>
              </w:rPr>
            </w:pPr>
            <w:r w:rsidRPr="00636F71">
              <w:rPr>
                <w:sz w:val="22"/>
                <w:szCs w:val="22"/>
              </w:rPr>
              <w:t>11%</w:t>
            </w:r>
          </w:p>
        </w:tc>
        <w:tc>
          <w:tcPr>
            <w:tcW w:w="1267" w:type="dxa"/>
            <w:tcBorders>
              <w:top w:val="single" w:sz="4" w:space="0" w:color="auto"/>
            </w:tcBorders>
            <w:noWrap/>
          </w:tcPr>
          <w:p w14:paraId="66D8890D" w14:textId="77777777" w:rsidR="00184747" w:rsidRPr="00636F71" w:rsidRDefault="00184747" w:rsidP="00A26D52">
            <w:pPr>
              <w:spacing w:line="240" w:lineRule="auto"/>
              <w:ind w:firstLine="0"/>
              <w:rPr>
                <w:rFonts w:eastAsia="Times New Roman"/>
                <w:sz w:val="22"/>
                <w:szCs w:val="22"/>
                <w:lang w:eastAsia="en-CA"/>
              </w:rPr>
            </w:pPr>
            <w:r w:rsidRPr="00636F71">
              <w:rPr>
                <w:sz w:val="22"/>
                <w:szCs w:val="22"/>
              </w:rPr>
              <w:t>84%</w:t>
            </w:r>
          </w:p>
        </w:tc>
        <w:tc>
          <w:tcPr>
            <w:tcW w:w="711" w:type="dxa"/>
            <w:tcBorders>
              <w:top w:val="single" w:sz="4" w:space="0" w:color="auto"/>
            </w:tcBorders>
            <w:noWrap/>
          </w:tcPr>
          <w:p w14:paraId="1C0EA220" w14:textId="77777777" w:rsidR="00184747" w:rsidRPr="00636F71" w:rsidRDefault="00184747" w:rsidP="00A26D52">
            <w:pPr>
              <w:spacing w:line="240" w:lineRule="auto"/>
              <w:ind w:firstLine="0"/>
              <w:rPr>
                <w:rFonts w:eastAsia="Times New Roman"/>
                <w:sz w:val="22"/>
                <w:szCs w:val="22"/>
                <w:lang w:eastAsia="en-CA"/>
              </w:rPr>
            </w:pPr>
            <w:r w:rsidRPr="00636F71">
              <w:rPr>
                <w:sz w:val="22"/>
                <w:szCs w:val="22"/>
              </w:rPr>
              <w:t>8%</w:t>
            </w:r>
          </w:p>
        </w:tc>
      </w:tr>
      <w:tr w:rsidR="00184747" w:rsidRPr="00636F71" w14:paraId="0214B720" w14:textId="77777777" w:rsidTr="00184747">
        <w:trPr>
          <w:trHeight w:val="288"/>
          <w:jc w:val="center"/>
        </w:trPr>
        <w:tc>
          <w:tcPr>
            <w:tcW w:w="1418" w:type="dxa"/>
            <w:tcBorders>
              <w:bottom w:val="single" w:sz="4" w:space="0" w:color="auto"/>
            </w:tcBorders>
            <w:noWrap/>
            <w:vAlign w:val="bottom"/>
          </w:tcPr>
          <w:p w14:paraId="3BF590C6" w14:textId="77777777" w:rsidR="00184747" w:rsidRPr="00636F71" w:rsidRDefault="00184747" w:rsidP="00A26D52">
            <w:pPr>
              <w:spacing w:line="240" w:lineRule="auto"/>
              <w:ind w:firstLine="0"/>
              <w:rPr>
                <w:rFonts w:eastAsia="Times New Roman"/>
                <w:sz w:val="22"/>
                <w:szCs w:val="22"/>
                <w:lang w:eastAsia="en-CA"/>
              </w:rPr>
            </w:pPr>
          </w:p>
        </w:tc>
        <w:tc>
          <w:tcPr>
            <w:tcW w:w="1451" w:type="dxa"/>
            <w:tcBorders>
              <w:bottom w:val="single" w:sz="4" w:space="0" w:color="auto"/>
            </w:tcBorders>
            <w:noWrap/>
          </w:tcPr>
          <w:p w14:paraId="56BFD05F" w14:textId="77777777" w:rsidR="00184747" w:rsidRPr="00636F71" w:rsidRDefault="00184747" w:rsidP="00A26D52">
            <w:pPr>
              <w:spacing w:line="240" w:lineRule="auto"/>
              <w:ind w:firstLine="0"/>
              <w:rPr>
                <w:rFonts w:eastAsia="Times New Roman"/>
                <w:color w:val="000000"/>
                <w:sz w:val="22"/>
                <w:szCs w:val="22"/>
                <w:lang w:eastAsia="en-CA"/>
              </w:rPr>
            </w:pPr>
            <w:r w:rsidRPr="00636F71">
              <w:rPr>
                <w:sz w:val="22"/>
                <w:szCs w:val="22"/>
              </w:rPr>
              <w:t>Children</w:t>
            </w:r>
          </w:p>
        </w:tc>
        <w:tc>
          <w:tcPr>
            <w:tcW w:w="1231" w:type="dxa"/>
            <w:tcBorders>
              <w:bottom w:val="single" w:sz="4" w:space="0" w:color="auto"/>
            </w:tcBorders>
            <w:noWrap/>
          </w:tcPr>
          <w:p w14:paraId="17A9C18D" w14:textId="77777777" w:rsidR="00184747" w:rsidRPr="00636F71" w:rsidRDefault="00184747" w:rsidP="00A26D52">
            <w:pPr>
              <w:spacing w:line="240" w:lineRule="auto"/>
              <w:ind w:firstLine="0"/>
              <w:rPr>
                <w:rFonts w:eastAsia="Times New Roman"/>
                <w:color w:val="000000"/>
                <w:sz w:val="22"/>
                <w:szCs w:val="22"/>
                <w:lang w:eastAsia="en-CA"/>
              </w:rPr>
            </w:pPr>
            <w:r w:rsidRPr="00636F71">
              <w:rPr>
                <w:sz w:val="22"/>
                <w:szCs w:val="22"/>
              </w:rPr>
              <w:t>63%</w:t>
            </w:r>
          </w:p>
        </w:tc>
        <w:tc>
          <w:tcPr>
            <w:tcW w:w="694" w:type="dxa"/>
            <w:tcBorders>
              <w:bottom w:val="single" w:sz="4" w:space="0" w:color="auto"/>
            </w:tcBorders>
            <w:noWrap/>
          </w:tcPr>
          <w:p w14:paraId="66730D6B" w14:textId="77777777" w:rsidR="00184747" w:rsidRPr="00636F71" w:rsidRDefault="00184747" w:rsidP="00A26D52">
            <w:pPr>
              <w:spacing w:line="240" w:lineRule="auto"/>
              <w:ind w:firstLine="0"/>
              <w:rPr>
                <w:rFonts w:eastAsia="Times New Roman"/>
                <w:sz w:val="22"/>
                <w:szCs w:val="22"/>
                <w:lang w:eastAsia="en-CA"/>
              </w:rPr>
            </w:pPr>
            <w:r w:rsidRPr="00636F71">
              <w:rPr>
                <w:sz w:val="22"/>
                <w:szCs w:val="22"/>
              </w:rPr>
              <w:t>12%</w:t>
            </w:r>
          </w:p>
        </w:tc>
        <w:tc>
          <w:tcPr>
            <w:tcW w:w="1267" w:type="dxa"/>
            <w:tcBorders>
              <w:bottom w:val="single" w:sz="4" w:space="0" w:color="auto"/>
            </w:tcBorders>
            <w:noWrap/>
          </w:tcPr>
          <w:p w14:paraId="66D6C1D9" w14:textId="77777777" w:rsidR="00184747" w:rsidRPr="00636F71" w:rsidRDefault="00184747" w:rsidP="00A26D52">
            <w:pPr>
              <w:spacing w:line="240" w:lineRule="auto"/>
              <w:ind w:firstLine="0"/>
              <w:rPr>
                <w:rFonts w:eastAsia="Times New Roman"/>
                <w:sz w:val="22"/>
                <w:szCs w:val="22"/>
                <w:lang w:eastAsia="en-CA"/>
              </w:rPr>
            </w:pPr>
            <w:r w:rsidRPr="00636F71">
              <w:rPr>
                <w:sz w:val="22"/>
                <w:szCs w:val="22"/>
              </w:rPr>
              <w:t>68%</w:t>
            </w:r>
          </w:p>
        </w:tc>
        <w:tc>
          <w:tcPr>
            <w:tcW w:w="711" w:type="dxa"/>
            <w:tcBorders>
              <w:bottom w:val="single" w:sz="4" w:space="0" w:color="auto"/>
            </w:tcBorders>
            <w:noWrap/>
          </w:tcPr>
          <w:p w14:paraId="57D784F6" w14:textId="77777777" w:rsidR="00184747" w:rsidRPr="00636F71" w:rsidRDefault="00184747" w:rsidP="00A26D52">
            <w:pPr>
              <w:spacing w:line="240" w:lineRule="auto"/>
              <w:ind w:firstLine="0"/>
              <w:rPr>
                <w:rFonts w:eastAsia="Times New Roman"/>
                <w:sz w:val="22"/>
                <w:szCs w:val="22"/>
                <w:lang w:eastAsia="en-CA"/>
              </w:rPr>
            </w:pPr>
            <w:r w:rsidRPr="00636F71">
              <w:rPr>
                <w:sz w:val="22"/>
                <w:szCs w:val="22"/>
              </w:rPr>
              <w:t>12%</w:t>
            </w:r>
          </w:p>
        </w:tc>
      </w:tr>
    </w:tbl>
    <w:p w14:paraId="6FC1ED5C" w14:textId="77777777" w:rsidR="00184747" w:rsidRPr="00636F71" w:rsidRDefault="00184747" w:rsidP="00184747">
      <w:pPr>
        <w:spacing w:line="240" w:lineRule="auto"/>
        <w:ind w:firstLine="0"/>
        <w:rPr>
          <w:sz w:val="20"/>
          <w:szCs w:val="20"/>
        </w:rPr>
      </w:pPr>
    </w:p>
    <w:p w14:paraId="7DBBDF1A" w14:textId="77777777" w:rsidR="00184747" w:rsidRDefault="00184747" w:rsidP="00184747">
      <w:pPr>
        <w:spacing w:line="240" w:lineRule="auto"/>
        <w:ind w:firstLine="0"/>
        <w:rPr>
          <w:sz w:val="20"/>
          <w:szCs w:val="20"/>
        </w:rPr>
      </w:pPr>
      <w:r w:rsidRPr="00636F71">
        <w:rPr>
          <w:sz w:val="20"/>
          <w:szCs w:val="20"/>
        </w:rPr>
        <w:t xml:space="preserve">Table 1. </w:t>
      </w:r>
      <w:r w:rsidRPr="00D35B02">
        <w:rPr>
          <w:b/>
          <w:bCs/>
          <w:sz w:val="20"/>
          <w:szCs w:val="20"/>
        </w:rPr>
        <w:t>Descriptive statistics in Experiments 1 and 2.</w:t>
      </w:r>
      <w:r w:rsidRPr="00636F71">
        <w:rPr>
          <w:sz w:val="20"/>
          <w:szCs w:val="20"/>
        </w:rPr>
        <w:t xml:space="preserve"> </w:t>
      </w:r>
    </w:p>
    <w:p w14:paraId="2B6AE2F4" w14:textId="77777777" w:rsidR="00184747" w:rsidRDefault="00184747" w:rsidP="00184747">
      <w:pPr>
        <w:spacing w:line="240" w:lineRule="auto"/>
        <w:ind w:firstLine="0"/>
      </w:pPr>
      <w:r w:rsidRPr="00636F71">
        <w:rPr>
          <w:sz w:val="20"/>
          <w:szCs w:val="20"/>
        </w:rPr>
        <w:t>Task performance refers to participants’ accuracy at remembering the correct colour (Memory) or identifying the larger shape (Perception). Metacognitive Sensitivity quantifies how well participants can discriminate accurate from inaccurate answers in their confidence ratings. Metacognitive Efficiency quantifies participants’ sensitivity relative to their task accuracy. Metacognitive Bias is the difference between their average confidence (scaled between 50-100) and their task accuracy. Confidence Rating is the average rating from 1: Low confidence to 3: High confidence.</w:t>
      </w:r>
    </w:p>
    <w:p w14:paraId="5B769D0A" w14:textId="77777777" w:rsidR="00184747" w:rsidRDefault="00184747" w:rsidP="00184747">
      <w:pPr>
        <w:spacing w:line="240" w:lineRule="auto"/>
        <w:ind w:firstLine="0"/>
        <w:jc w:val="both"/>
      </w:pPr>
    </w:p>
    <w:p w14:paraId="1E22FF15" w14:textId="77777777" w:rsidR="00184747" w:rsidRDefault="00184747" w:rsidP="00184747">
      <w:pPr>
        <w:spacing w:line="240" w:lineRule="auto"/>
        <w:ind w:firstLine="0"/>
        <w:jc w:val="both"/>
        <w:sectPr w:rsidR="00184747" w:rsidSect="00184747">
          <w:type w:val="continuous"/>
          <w:pgSz w:w="12240" w:h="15840"/>
          <w:pgMar w:top="1440" w:right="616" w:bottom="1440" w:left="567" w:header="708" w:footer="708" w:gutter="0"/>
          <w:cols w:space="708"/>
          <w:docGrid w:linePitch="360"/>
        </w:sectPr>
      </w:pPr>
    </w:p>
    <w:p w14:paraId="42F6E6FD" w14:textId="7F9751B8" w:rsidR="00160CCE" w:rsidRPr="00636F71" w:rsidRDefault="0039756A" w:rsidP="003C4FF6">
      <w:pPr>
        <w:spacing w:line="240" w:lineRule="auto"/>
        <w:ind w:firstLine="0"/>
        <w:jc w:val="both"/>
      </w:pPr>
      <w:bookmarkStart w:id="13" w:name="_Hlk213855703"/>
      <w:bookmarkEnd w:id="12"/>
      <w:r w:rsidRPr="00636F71">
        <w:t>for Memory and n = 166 for Perception) to maximize power, as preregistered.</w:t>
      </w:r>
      <w:r>
        <w:t xml:space="preserve"> </w:t>
      </w:r>
      <w:r w:rsidR="0053316B" w:rsidRPr="00636F71">
        <w:t xml:space="preserve">Children gave higher confidence ratings for correct answers on both the Memory, </w:t>
      </w:r>
      <w:r w:rsidR="0053316B" w:rsidRPr="00636F71">
        <w:rPr>
          <w:i/>
          <w:iCs/>
        </w:rPr>
        <w:t>F</w:t>
      </w:r>
      <w:r w:rsidR="0053316B" w:rsidRPr="00636F71">
        <w:t xml:space="preserve">(1, 151) = 220.66, </w:t>
      </w:r>
      <w:r w:rsidR="0053316B" w:rsidRPr="00636F71">
        <w:rPr>
          <w:i/>
          <w:iCs/>
        </w:rPr>
        <w:t>p</w:t>
      </w:r>
      <w:r w:rsidR="0053316B" w:rsidRPr="00636F71">
        <w:t xml:space="preserve"> &lt; .001, η</w:t>
      </w:r>
      <w:r w:rsidR="0053316B" w:rsidRPr="00636F71">
        <w:rPr>
          <w:vertAlign w:val="subscript"/>
        </w:rPr>
        <w:t>p</w:t>
      </w:r>
      <w:r w:rsidR="0053316B" w:rsidRPr="00636F71">
        <w:rPr>
          <w:vertAlign w:val="superscript"/>
        </w:rPr>
        <w:t>2</w:t>
      </w:r>
      <w:r w:rsidR="0064462F" w:rsidRPr="00636F71">
        <w:rPr>
          <w:vertAlign w:val="superscript"/>
        </w:rPr>
        <w:t xml:space="preserve"> </w:t>
      </w:r>
      <w:r w:rsidR="0053316B" w:rsidRPr="00636F71">
        <w:t>= 0.59, and Percept</w:t>
      </w:r>
      <w:r w:rsidR="0062560B" w:rsidRPr="00636F71">
        <w:t>ion</w:t>
      </w:r>
      <w:r w:rsidR="0053316B" w:rsidRPr="00636F71">
        <w:t xml:space="preserve"> tasks, </w:t>
      </w:r>
      <w:r w:rsidR="0053316B" w:rsidRPr="00636F71">
        <w:rPr>
          <w:i/>
          <w:iCs/>
        </w:rPr>
        <w:t>F</w:t>
      </w:r>
      <w:r w:rsidR="0053316B" w:rsidRPr="00636F71">
        <w:t xml:space="preserve">(1, </w:t>
      </w:r>
      <w:r w:rsidR="00F32533" w:rsidRPr="00636F71">
        <w:t>163</w:t>
      </w:r>
      <w:r w:rsidR="0053316B" w:rsidRPr="00636F71">
        <w:t xml:space="preserve">) = </w:t>
      </w:r>
      <w:r w:rsidR="00F32533" w:rsidRPr="00636F71">
        <w:t>96.97</w:t>
      </w:r>
      <w:r w:rsidR="0053316B" w:rsidRPr="00636F71">
        <w:t xml:space="preserve">, </w:t>
      </w:r>
      <w:r w:rsidR="0053316B" w:rsidRPr="00636F71">
        <w:rPr>
          <w:i/>
          <w:iCs/>
        </w:rPr>
        <w:t>p</w:t>
      </w:r>
      <w:r w:rsidR="0053316B" w:rsidRPr="00636F71">
        <w:t xml:space="preserve"> &lt; .001, η</w:t>
      </w:r>
      <w:r w:rsidR="0053316B" w:rsidRPr="00636F71">
        <w:rPr>
          <w:vertAlign w:val="subscript"/>
        </w:rPr>
        <w:t>p</w:t>
      </w:r>
      <w:r w:rsidR="0053316B" w:rsidRPr="00636F71">
        <w:rPr>
          <w:vertAlign w:val="superscript"/>
        </w:rPr>
        <w:t>2</w:t>
      </w:r>
      <w:r w:rsidR="00160CCE" w:rsidRPr="00636F71">
        <w:rPr>
          <w:vertAlign w:val="superscript"/>
        </w:rPr>
        <w:t xml:space="preserve"> </w:t>
      </w:r>
      <w:r w:rsidR="0053316B" w:rsidRPr="00636F71">
        <w:t>= 0.</w:t>
      </w:r>
      <w:r w:rsidR="00F32533" w:rsidRPr="00636F71">
        <w:t>37</w:t>
      </w:r>
      <w:r w:rsidR="001F1D1C" w:rsidRPr="00636F71">
        <w:t xml:space="preserve">, see Figure </w:t>
      </w:r>
      <w:r w:rsidR="00347281" w:rsidRPr="00636F71">
        <w:t>5</w:t>
      </w:r>
      <w:r w:rsidR="00F32533" w:rsidRPr="00636F71">
        <w:t xml:space="preserve">. </w:t>
      </w:r>
      <w:r w:rsidR="00160CCE" w:rsidRPr="00636F71">
        <w:t xml:space="preserve">There was a trend toward an Age </w:t>
      </w:r>
      <w:r w:rsidR="00A1687C" w:rsidRPr="00636F71">
        <w:t>by</w:t>
      </w:r>
      <w:r w:rsidR="00160CCE" w:rsidRPr="00636F71">
        <w:t xml:space="preserve"> </w:t>
      </w:r>
      <w:r w:rsidR="001E79E6" w:rsidRPr="00636F71">
        <w:t>Accuracy</w:t>
      </w:r>
      <w:r w:rsidR="00160CCE" w:rsidRPr="00636F71">
        <w:t xml:space="preserve"> interaction in the Memory task, </w:t>
      </w:r>
      <w:r w:rsidR="00160CCE" w:rsidRPr="00636F71">
        <w:rPr>
          <w:i/>
          <w:iCs/>
        </w:rPr>
        <w:t>F</w:t>
      </w:r>
      <w:r w:rsidR="00160CCE" w:rsidRPr="00636F71">
        <w:t xml:space="preserve">(2, 151) = 2.90, </w:t>
      </w:r>
      <w:r w:rsidR="00160CCE" w:rsidRPr="00636F71">
        <w:rPr>
          <w:i/>
          <w:iCs/>
        </w:rPr>
        <w:t>p</w:t>
      </w:r>
      <w:r w:rsidR="00160CCE" w:rsidRPr="00636F71">
        <w:t xml:space="preserve"> = .058, η</w:t>
      </w:r>
      <w:r w:rsidR="00160CCE" w:rsidRPr="00636F71">
        <w:rPr>
          <w:vertAlign w:val="subscript"/>
        </w:rPr>
        <w:t>p</w:t>
      </w:r>
      <w:r w:rsidR="00160CCE" w:rsidRPr="00636F71">
        <w:rPr>
          <w:vertAlign w:val="superscript"/>
        </w:rPr>
        <w:t>2</w:t>
      </w:r>
      <w:r w:rsidR="00160CCE" w:rsidRPr="00636F71">
        <w:t xml:space="preserve"> = .04, and a trend for an Age main effect in the Perception task, </w:t>
      </w:r>
      <w:r w:rsidR="00160CCE" w:rsidRPr="00636F71">
        <w:rPr>
          <w:i/>
          <w:iCs/>
        </w:rPr>
        <w:t>F</w:t>
      </w:r>
      <w:r w:rsidR="00160CCE" w:rsidRPr="00636F71">
        <w:t xml:space="preserve">(2, 163) = 2.60, </w:t>
      </w:r>
      <w:r w:rsidR="00160CCE" w:rsidRPr="00636F71">
        <w:rPr>
          <w:i/>
          <w:iCs/>
        </w:rPr>
        <w:t>p</w:t>
      </w:r>
      <w:r w:rsidR="00160CCE" w:rsidRPr="00636F71">
        <w:t xml:space="preserve"> = .078, η</w:t>
      </w:r>
      <w:r w:rsidR="00160CCE" w:rsidRPr="00636F71">
        <w:rPr>
          <w:vertAlign w:val="subscript"/>
        </w:rPr>
        <w:t>p</w:t>
      </w:r>
      <w:r w:rsidR="00160CCE" w:rsidRPr="00636F71">
        <w:rPr>
          <w:vertAlign w:val="superscript"/>
        </w:rPr>
        <w:t>2</w:t>
      </w:r>
      <w:r w:rsidR="00160CCE" w:rsidRPr="00636F71">
        <w:t xml:space="preserve"> = .03</w:t>
      </w:r>
      <w:r w:rsidR="00A1687C" w:rsidRPr="00636F71">
        <w:t xml:space="preserve">, but because both of these results failed to reach conventional levels of statistical significance, </w:t>
      </w:r>
      <w:r w:rsidR="00A1687C" w:rsidRPr="00636F71">
        <w:t>they are not further interpreted</w:t>
      </w:r>
      <w:r w:rsidR="00160CCE" w:rsidRPr="00636F71">
        <w:t>. There were no other</w:t>
      </w:r>
      <w:r w:rsidR="00184747">
        <w:t xml:space="preserve"> </w:t>
      </w:r>
      <w:r w:rsidR="00160CCE" w:rsidRPr="00636F71">
        <w:t xml:space="preserve">effects or interactions with age in either task, </w:t>
      </w:r>
      <w:r w:rsidR="00160CCE" w:rsidRPr="00636F71">
        <w:rPr>
          <w:i/>
          <w:iCs/>
        </w:rPr>
        <w:t>p</w:t>
      </w:r>
      <w:r w:rsidR="00160CCE" w:rsidRPr="00636F71">
        <w:t>s &gt; .470.</w:t>
      </w:r>
      <w:bookmarkEnd w:id="13"/>
    </w:p>
    <w:p w14:paraId="1A72BCD4" w14:textId="495FD4CD" w:rsidR="00F32533" w:rsidRPr="00636F71" w:rsidRDefault="00E20A8B" w:rsidP="005A785C">
      <w:pPr>
        <w:pStyle w:val="Heading3"/>
        <w:spacing w:line="240" w:lineRule="auto"/>
        <w:jc w:val="both"/>
      </w:pPr>
      <w:r w:rsidRPr="00636F71">
        <w:t xml:space="preserve">Correlations Between </w:t>
      </w:r>
      <w:r w:rsidR="007F747B" w:rsidRPr="00636F71">
        <w:t xml:space="preserve">Metacognitive </w:t>
      </w:r>
      <w:r w:rsidR="00FE758C" w:rsidRPr="00636F71">
        <w:t>Indices</w:t>
      </w:r>
    </w:p>
    <w:p w14:paraId="651B3631" w14:textId="3DF01F2D" w:rsidR="003C4FF6" w:rsidRDefault="00525262" w:rsidP="005A785C">
      <w:pPr>
        <w:spacing w:line="240" w:lineRule="auto"/>
        <w:jc w:val="both"/>
        <w:sectPr w:rsidR="003C4FF6" w:rsidSect="005A785C">
          <w:type w:val="continuous"/>
          <w:pgSz w:w="12240" w:h="15840"/>
          <w:pgMar w:top="1440" w:right="616" w:bottom="1440" w:left="567" w:header="708" w:footer="708" w:gutter="0"/>
          <w:cols w:num="2" w:space="708"/>
          <w:docGrid w:linePitch="360"/>
        </w:sectPr>
      </w:pPr>
      <w:r w:rsidRPr="00636F71">
        <w:rPr>
          <w:b/>
          <w:bCs/>
        </w:rPr>
        <w:t>Metacognitive Sensitivity and Efficiency</w:t>
      </w:r>
      <w:r w:rsidR="00092C70" w:rsidRPr="00636F71">
        <w:t xml:space="preserve"> </w:t>
      </w:r>
      <w:r w:rsidR="00090117" w:rsidRPr="00636F71">
        <w:t>Adults’ metacognitive sensitivity (meta-d’</w:t>
      </w:r>
      <w:r w:rsidR="00B42F45">
        <w:t xml:space="preserve">) </w:t>
      </w:r>
      <w:r w:rsidR="00B42F45">
        <w:fldChar w:fldCharType="begin"/>
      </w:r>
      <w:r w:rsidR="00B42F45">
        <w:instrText xml:space="preserve"> ADDIN ZOTERO_ITEM CSL_CITATION {"citationID":"Uc5DCyRI","properties":{"formattedCitation":"\\super 41\\nosupersub{}","plainCitation":"41","noteIndex":0},"citationItems":[{"id":857,"uris":["http://zotero.org/users/3750895/items/A86ZH3CT"],"itemData":{"id":857,"type":"chapter","abstract":"Previously we have proposed a signal detection theory (SDT) methodology for measuring metacognitive sensitivity (Maniscalco and Lau, Conscious Cogn 21:422–430, 2012). Our SDT measure, meta-d′, provides a response-bias free measure of how well confidence ratings track task accuracy. Here we provide an overview of standard SDT and an extended formal treatment of meta-d′. However, whereas meta-d′ characterizes an observer’s sensitivity in tracking overall accuracy, it may sometimes be of interest to assess metacognition for a particular kind of behavioral response. For instance, in a perceptual detection task, we may wish to characterize metacognition separately for reports of stimulus presence and absence. Here we discuss the methodology for computing such a “response-specific” meta-d′ and provide corresponding Matlab code. This approach potentially offers an alternative explanation for data that are typically taken to support the unequal variance SDT (UV-SDT) model. We demonstrate that simulated data generated from UV-SDT can be well fit by an equal variance SDT model positing different metacognitive ability for each kind of behavioral response, and likewise that data generated by the latter model can be captured by UV-SDT. This ambiguity entails that caution is needed in interpreting the processes underlying relative operating characteristic (ROC) curve properties. Type 1 ROC curves generated by combining type 1 and type 2 judgments, traditionally interpreted in terms of low-level processes (UV), can potentially be interpreted in terms of high-level processes instead (response-specific metacognition). Similarly, differences in area under response-specific type 2 ROC curves may reflect the influence of low-level processes (UV) rather than high-level metacognitive processes.","container-title":"The Cognitive Neuroscience of Metacognition","ISBN":"978-3-642-45189-8","language":"en","note":"DOI: 10.1007/978-3-642-45190-4_3","page":"25-66","publisher":"Springer","source":"link.springer.com","title":"Signal Detection Theory analysis of Type 1 and Type 2 data: Meta-d′, response-specific Meta-d′, and the Unequal Variance SDT model","title-short":"Signal Detection Theory Analysis of Type 1 and Type 2 Data","URL":"https://link.springer.com/chapter/10.1007/978-3-642-45190-4_3","author":[{"family":"Maniscalco","given":"Brian"},{"family":"Lau","given":"Hakwan"}],"accessed":{"date-parts":[["2018",7,1]]},"issued":{"date-parts":[["2014"]]}}}],"schema":"https://github.com/citation-style-language/schema/raw/master/csl-citation.json"} </w:instrText>
      </w:r>
      <w:r w:rsidR="00B42F45">
        <w:fldChar w:fldCharType="separate"/>
      </w:r>
      <w:r w:rsidR="00B42F45" w:rsidRPr="00B42F45">
        <w:rPr>
          <w:vertAlign w:val="superscript"/>
        </w:rPr>
        <w:t>41</w:t>
      </w:r>
      <w:r w:rsidR="00B42F45">
        <w:fldChar w:fldCharType="end"/>
      </w:r>
      <w:r w:rsidR="00092C70" w:rsidRPr="00636F71">
        <w:t xml:space="preserve"> </w:t>
      </w:r>
      <w:r w:rsidR="00090117" w:rsidRPr="00636F71">
        <w:t>was not significantly correlated across Memory and Perception,</w:t>
      </w:r>
      <w:r w:rsidR="00F35669" w:rsidRPr="00636F71">
        <w:t xml:space="preserve"> Spearman’s</w:t>
      </w:r>
      <w:r w:rsidR="00090117" w:rsidRPr="00636F71">
        <w:t xml:space="preserve"> </w:t>
      </w:r>
      <w:r w:rsidR="00BE7E74" w:rsidRPr="00636F71">
        <w:t>ρ(127)</w:t>
      </w:r>
      <w:r w:rsidR="00090117" w:rsidRPr="00636F71">
        <w:t xml:space="preserve"> = .16, </w:t>
      </w:r>
      <w:r w:rsidR="00090117" w:rsidRPr="00636F71">
        <w:rPr>
          <w:i/>
          <w:iCs/>
        </w:rPr>
        <w:t>p</w:t>
      </w:r>
      <w:r w:rsidR="00090117" w:rsidRPr="00636F71">
        <w:t xml:space="preserve"> = .06</w:t>
      </w:r>
      <w:r w:rsidR="002F0D9E" w:rsidRPr="00636F71">
        <w:t>5</w:t>
      </w:r>
      <w:r w:rsidR="009423AA" w:rsidRPr="00636F71">
        <w:t>,</w:t>
      </w:r>
      <w:r w:rsidR="002F0D9E" w:rsidRPr="00636F71">
        <w:rPr>
          <w:rFonts w:ascii="Lucida Console" w:eastAsia="Times New Roman" w:hAnsi="Lucida Console" w:cs="Courier New"/>
          <w:color w:val="000000"/>
          <w:sz w:val="20"/>
          <w:szCs w:val="20"/>
          <w:bdr w:val="none" w:sz="0" w:space="0" w:color="auto" w:frame="1"/>
          <w:lang w:eastAsia="en-CA"/>
        </w:rPr>
        <w:t xml:space="preserve"> </w:t>
      </w:r>
      <w:r w:rsidR="002F0D9E" w:rsidRPr="00636F71">
        <w:t>95% CI = [-0.02, 0.33],</w:t>
      </w:r>
      <w:r w:rsidR="009423AA" w:rsidRPr="00636F71">
        <w:t xml:space="preserve"> BF</w:t>
      </w:r>
      <w:r w:rsidR="009423AA" w:rsidRPr="00636F71">
        <w:rPr>
          <w:vertAlign w:val="subscript"/>
        </w:rPr>
        <w:t>10</w:t>
      </w:r>
      <w:r w:rsidR="009423AA" w:rsidRPr="00636F71">
        <w:t xml:space="preserve"> = 0.</w:t>
      </w:r>
      <w:r w:rsidR="00057776" w:rsidRPr="00636F71">
        <w:t>53</w:t>
      </w:r>
      <w:r w:rsidR="00090117" w:rsidRPr="00636F71">
        <w:t xml:space="preserve">, nor was their </w:t>
      </w:r>
      <w:r w:rsidR="003C4FF6" w:rsidRPr="00636F71">
        <w:t xml:space="preserve">metacognitive efficiency (MRatio), ρ(127) = .02, </w:t>
      </w:r>
      <w:r w:rsidR="003C4FF6" w:rsidRPr="00636F71">
        <w:rPr>
          <w:i/>
          <w:iCs/>
        </w:rPr>
        <w:t>p</w:t>
      </w:r>
      <w:r w:rsidR="003C4FF6" w:rsidRPr="00636F71">
        <w:t xml:space="preserve"> = .861, 95% CI = [-0.16, 0.19], BF</w:t>
      </w:r>
      <w:r w:rsidR="003C4FF6" w:rsidRPr="00636F71">
        <w:rPr>
          <w:vertAlign w:val="subscript"/>
        </w:rPr>
        <w:t>10</w:t>
      </w:r>
      <w:r w:rsidR="003C4FF6" w:rsidRPr="00636F71">
        <w:t xml:space="preserve"> = 0.12.</w:t>
      </w:r>
      <w:r w:rsidR="003C4FF6">
        <w:t xml:space="preserve"> </w:t>
      </w:r>
      <w:r w:rsidR="003C4FF6" w:rsidRPr="00636F71">
        <w:t>Similarly,</w:t>
      </w:r>
    </w:p>
    <w:p w14:paraId="41925157" w14:textId="77777777" w:rsidR="003C4FF6" w:rsidRDefault="003C4FF6" w:rsidP="003C4FF6">
      <w:pPr>
        <w:spacing w:line="240" w:lineRule="auto"/>
        <w:ind w:firstLine="0"/>
        <w:jc w:val="both"/>
      </w:pPr>
      <w:r w:rsidRPr="003C4FF6">
        <w:rPr>
          <w:noProof/>
        </w:rPr>
        <w:lastRenderedPageBreak/>
        <w:drawing>
          <wp:inline distT="0" distB="0" distL="0" distR="0" wp14:anchorId="4011317F" wp14:editId="154040EC">
            <wp:extent cx="7021195" cy="2963545"/>
            <wp:effectExtent l="0" t="0" r="8255" b="8255"/>
            <wp:docPr id="18570315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3157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7021195" cy="2963545"/>
                    </a:xfrm>
                    <a:prstGeom prst="rect">
                      <a:avLst/>
                    </a:prstGeom>
                  </pic:spPr>
                </pic:pic>
              </a:graphicData>
            </a:graphic>
          </wp:inline>
        </w:drawing>
      </w:r>
    </w:p>
    <w:p w14:paraId="3B0B80EA" w14:textId="77777777" w:rsidR="003C4FF6" w:rsidRDefault="003C4FF6" w:rsidP="003C4FF6">
      <w:pPr>
        <w:spacing w:line="240" w:lineRule="auto"/>
        <w:ind w:firstLine="0"/>
        <w:jc w:val="both"/>
      </w:pPr>
    </w:p>
    <w:p w14:paraId="609549BA" w14:textId="77777777" w:rsidR="003C4FF6" w:rsidRPr="003C4FF6" w:rsidRDefault="003C4FF6" w:rsidP="003C4FF6">
      <w:pPr>
        <w:spacing w:line="240" w:lineRule="auto"/>
        <w:ind w:firstLine="0"/>
        <w:rPr>
          <w:sz w:val="20"/>
          <w:szCs w:val="20"/>
        </w:rPr>
      </w:pPr>
      <w:r w:rsidRPr="003C4FF6">
        <w:rPr>
          <w:sz w:val="20"/>
          <w:szCs w:val="20"/>
        </w:rPr>
        <w:t xml:space="preserve">Figure 4. </w:t>
      </w:r>
      <w:r w:rsidRPr="003C4FF6">
        <w:rPr>
          <w:b/>
          <w:bCs/>
          <w:sz w:val="20"/>
          <w:szCs w:val="20"/>
        </w:rPr>
        <w:t>Correlations between dependent variables for Experiment 1A (Adults, N = 129), and 1B (Children, N = 131).</w:t>
      </w:r>
    </w:p>
    <w:p w14:paraId="5A3A5782" w14:textId="0B3C087F" w:rsidR="003C4FF6" w:rsidRPr="003C4FF6" w:rsidRDefault="003C4FF6" w:rsidP="003C4FF6">
      <w:pPr>
        <w:spacing w:line="240" w:lineRule="auto"/>
        <w:ind w:firstLine="0"/>
        <w:rPr>
          <w:sz w:val="20"/>
          <w:szCs w:val="20"/>
        </w:rPr>
      </w:pPr>
      <w:r w:rsidRPr="003C4FF6">
        <w:rPr>
          <w:sz w:val="20"/>
          <w:szCs w:val="20"/>
        </w:rPr>
        <w:t xml:space="preserve">Accuracy refers to remembering the correct colour (Memory) or identifying the larger shape (Perception). Metacognitive Sensitivity quantifies how well participants can discriminate accurate from inaccurate answers in their confidence ratings. Metacognitive Efficiency quantifies participants’ sensitivity relative to their task accuracy. Metacognitive Bias is the difference between their average confidence (scaled between 50-100) and their task accuracy. Pearson’s </w:t>
      </w:r>
      <w:r w:rsidRPr="003C4FF6">
        <w:rPr>
          <w:i/>
          <w:iCs/>
          <w:sz w:val="20"/>
          <w:szCs w:val="20"/>
        </w:rPr>
        <w:t>r</w:t>
      </w:r>
      <w:r w:rsidRPr="003C4FF6">
        <w:rPr>
          <w:sz w:val="20"/>
          <w:szCs w:val="20"/>
        </w:rPr>
        <w:t xml:space="preserve"> and Spearman’s ρ were conducted two-tailed, and we did not adjust for multiple comparisons.</w:t>
      </w:r>
    </w:p>
    <w:p w14:paraId="6039941F" w14:textId="77777777" w:rsidR="003C4FF6" w:rsidRDefault="003C4FF6" w:rsidP="003C4FF6">
      <w:pPr>
        <w:spacing w:line="240" w:lineRule="auto"/>
        <w:ind w:firstLine="0"/>
        <w:jc w:val="both"/>
      </w:pPr>
    </w:p>
    <w:p w14:paraId="5FFAF3E7" w14:textId="2DF23613" w:rsidR="003C4FF6" w:rsidRDefault="003C4FF6" w:rsidP="003C4FF6">
      <w:pPr>
        <w:spacing w:line="240" w:lineRule="auto"/>
        <w:ind w:firstLine="0"/>
        <w:jc w:val="both"/>
        <w:sectPr w:rsidR="003C4FF6" w:rsidSect="003C4FF6">
          <w:type w:val="continuous"/>
          <w:pgSz w:w="12240" w:h="15840"/>
          <w:pgMar w:top="1440" w:right="616" w:bottom="1440" w:left="567" w:header="708" w:footer="708" w:gutter="0"/>
          <w:cols w:space="708"/>
          <w:docGrid w:linePitch="360"/>
        </w:sectPr>
      </w:pPr>
    </w:p>
    <w:p w14:paraId="7A5DC355" w14:textId="77777777" w:rsidR="00874189" w:rsidRDefault="00874189" w:rsidP="003C4FF6">
      <w:pPr>
        <w:spacing w:line="240" w:lineRule="auto"/>
        <w:ind w:firstLine="0"/>
        <w:jc w:val="both"/>
      </w:pPr>
      <w:r>
        <w:rPr>
          <w:noProof/>
        </w:rPr>
        <w:drawing>
          <wp:inline distT="0" distB="0" distL="0" distR="0" wp14:anchorId="35DD9CD0" wp14:editId="6608708F">
            <wp:extent cx="3287395" cy="2188210"/>
            <wp:effectExtent l="0" t="0" r="8255" b="2540"/>
            <wp:docPr id="164425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7395" cy="2188210"/>
                    </a:xfrm>
                    <a:prstGeom prst="rect">
                      <a:avLst/>
                    </a:prstGeom>
                    <a:noFill/>
                    <a:ln>
                      <a:noFill/>
                    </a:ln>
                  </pic:spPr>
                </pic:pic>
              </a:graphicData>
            </a:graphic>
          </wp:inline>
        </w:drawing>
      </w:r>
    </w:p>
    <w:p w14:paraId="123B040B" w14:textId="77777777" w:rsidR="00874189" w:rsidRPr="00874189" w:rsidRDefault="00874189" w:rsidP="00874189">
      <w:pPr>
        <w:spacing w:line="240" w:lineRule="auto"/>
        <w:ind w:firstLine="0"/>
        <w:rPr>
          <w:sz w:val="20"/>
          <w:szCs w:val="20"/>
        </w:rPr>
      </w:pPr>
      <w:r w:rsidRPr="00874189">
        <w:rPr>
          <w:sz w:val="20"/>
          <w:szCs w:val="20"/>
        </w:rPr>
        <w:t xml:space="preserve">Figure 5. </w:t>
      </w:r>
      <w:r w:rsidRPr="00874189">
        <w:rPr>
          <w:b/>
          <w:bCs/>
          <w:sz w:val="20"/>
          <w:szCs w:val="20"/>
        </w:rPr>
        <w:t>Children’s average confidence by accuracy and task type.</w:t>
      </w:r>
    </w:p>
    <w:p w14:paraId="7D16C9A6" w14:textId="77777777" w:rsidR="00874189" w:rsidRDefault="00874189" w:rsidP="00874189">
      <w:pPr>
        <w:spacing w:line="240" w:lineRule="auto"/>
        <w:ind w:firstLine="0"/>
        <w:rPr>
          <w:sz w:val="20"/>
          <w:szCs w:val="20"/>
        </w:rPr>
      </w:pPr>
      <w:r w:rsidRPr="00874189">
        <w:rPr>
          <w:sz w:val="20"/>
          <w:szCs w:val="20"/>
        </w:rPr>
        <w:t>Children’s (N = 131) average confidence when accurate and inaccurate, by task type, from 1: Low confidence to 3: High confidence.</w:t>
      </w:r>
    </w:p>
    <w:p w14:paraId="166759B8" w14:textId="77777777" w:rsidR="00874189" w:rsidRPr="00874189" w:rsidRDefault="00874189" w:rsidP="00874189">
      <w:pPr>
        <w:spacing w:line="240" w:lineRule="auto"/>
        <w:ind w:firstLine="0"/>
        <w:rPr>
          <w:sz w:val="20"/>
          <w:szCs w:val="20"/>
        </w:rPr>
      </w:pPr>
    </w:p>
    <w:p w14:paraId="07E60978" w14:textId="6C830B84" w:rsidR="00C560B3" w:rsidRPr="00636F71" w:rsidRDefault="00B44510" w:rsidP="003C4FF6">
      <w:pPr>
        <w:spacing w:line="240" w:lineRule="auto"/>
        <w:ind w:firstLine="0"/>
        <w:jc w:val="both"/>
      </w:pPr>
      <w:r w:rsidRPr="00636F71">
        <w:t>children’s</w:t>
      </w:r>
      <w:r w:rsidR="008B5BF7" w:rsidRPr="00636F71">
        <w:t xml:space="preserve"> meta-d’ was not correlated across </w:t>
      </w:r>
      <w:r w:rsidRPr="00636F71">
        <w:t>tasks</w:t>
      </w:r>
      <w:r w:rsidR="008B5BF7" w:rsidRPr="00636F71">
        <w:t xml:space="preserve">, </w:t>
      </w:r>
      <w:r w:rsidR="00BE7E74" w:rsidRPr="00636F71">
        <w:t>ρ(129)</w:t>
      </w:r>
      <w:r w:rsidR="008B5BF7" w:rsidRPr="00636F71">
        <w:t xml:space="preserve"> = .11, </w:t>
      </w:r>
      <w:r w:rsidR="008B5BF7" w:rsidRPr="00636F71">
        <w:rPr>
          <w:i/>
          <w:iCs/>
        </w:rPr>
        <w:t>p</w:t>
      </w:r>
      <w:r w:rsidR="008B5BF7" w:rsidRPr="00636F71">
        <w:t xml:space="preserve"> = .22</w:t>
      </w:r>
      <w:r w:rsidR="002B23D2" w:rsidRPr="00636F71">
        <w:t>5</w:t>
      </w:r>
      <w:r w:rsidR="0093098F" w:rsidRPr="00636F71">
        <w:t>,</w:t>
      </w:r>
      <w:r w:rsidR="002B23D2" w:rsidRPr="00636F71">
        <w:t xml:space="preserve"> 95% CI = [-0.07, 0.28],</w:t>
      </w:r>
      <w:r w:rsidR="0093098F" w:rsidRPr="00636F71">
        <w:t xml:space="preserve"> BF</w:t>
      </w:r>
      <w:r w:rsidR="0093098F" w:rsidRPr="00636F71">
        <w:rPr>
          <w:vertAlign w:val="subscript"/>
        </w:rPr>
        <w:t>10</w:t>
      </w:r>
      <w:r w:rsidR="0093098F" w:rsidRPr="00636F71">
        <w:t xml:space="preserve"> = 0.2</w:t>
      </w:r>
      <w:r w:rsidR="005E0123" w:rsidRPr="00636F71">
        <w:t>7</w:t>
      </w:r>
      <w:r w:rsidR="008B5BF7" w:rsidRPr="00636F71">
        <w:t xml:space="preserve">, nor was their MRatio, </w:t>
      </w:r>
      <w:r w:rsidR="00BE7E74" w:rsidRPr="00636F71">
        <w:t>ρ(129)</w:t>
      </w:r>
      <w:r w:rsidR="008B5BF7" w:rsidRPr="00636F71">
        <w:t xml:space="preserve"> = .07, </w:t>
      </w:r>
      <w:r w:rsidR="008B5BF7" w:rsidRPr="00636F71">
        <w:rPr>
          <w:i/>
          <w:iCs/>
        </w:rPr>
        <w:t>p</w:t>
      </w:r>
      <w:r w:rsidR="008B5BF7" w:rsidRPr="00636F71">
        <w:t xml:space="preserve"> = .39</w:t>
      </w:r>
      <w:r w:rsidR="002B23D2" w:rsidRPr="00636F71">
        <w:t>6</w:t>
      </w:r>
      <w:r w:rsidR="0093098F" w:rsidRPr="00636F71">
        <w:t>,</w:t>
      </w:r>
      <w:r w:rsidR="002B23D2" w:rsidRPr="00636F71">
        <w:t xml:space="preserve"> 95% CI = [-0.1, 0.25],</w:t>
      </w:r>
      <w:r w:rsidR="0093098F" w:rsidRPr="00636F71">
        <w:t xml:space="preserve"> BF</w:t>
      </w:r>
      <w:r w:rsidR="0093098F" w:rsidRPr="00636F71">
        <w:rPr>
          <w:vertAlign w:val="subscript"/>
        </w:rPr>
        <w:t xml:space="preserve">10 </w:t>
      </w:r>
      <w:r w:rsidR="0093098F" w:rsidRPr="00636F71">
        <w:t>= 0.1</w:t>
      </w:r>
      <w:r w:rsidR="005E0123" w:rsidRPr="00636F71">
        <w:t>7</w:t>
      </w:r>
      <w:r w:rsidR="008B5BF7" w:rsidRPr="00636F71">
        <w:t>.</w:t>
      </w:r>
    </w:p>
    <w:p w14:paraId="614DA2C4" w14:textId="446CDAC4" w:rsidR="00A10DB7" w:rsidRPr="00636F71" w:rsidRDefault="00525262" w:rsidP="005A785C">
      <w:pPr>
        <w:spacing w:line="240" w:lineRule="auto"/>
        <w:jc w:val="both"/>
      </w:pPr>
      <w:r w:rsidRPr="00636F71">
        <w:rPr>
          <w:b/>
          <w:bCs/>
        </w:rPr>
        <w:t>Metacognitive Bias</w:t>
      </w:r>
      <w:r w:rsidR="00092C70" w:rsidRPr="00636F71">
        <w:t xml:space="preserve"> </w:t>
      </w:r>
      <w:r w:rsidR="00B44510" w:rsidRPr="00636F71">
        <w:t>Adults’ bias was correlated across the two tasks, exploratory</w:t>
      </w:r>
      <w:r w:rsidR="00F35669" w:rsidRPr="00636F71">
        <w:t xml:space="preserve"> Pearson’s</w:t>
      </w:r>
      <w:r w:rsidR="00B44510" w:rsidRPr="00636F71">
        <w:t xml:space="preserve"> </w:t>
      </w:r>
      <w:r w:rsidR="00B44510" w:rsidRPr="00636F71">
        <w:rPr>
          <w:i/>
          <w:iCs/>
        </w:rPr>
        <w:t>r</w:t>
      </w:r>
      <w:r w:rsidR="00B44510" w:rsidRPr="00636F71">
        <w:t xml:space="preserve">(127) = .37, </w:t>
      </w:r>
      <w:r w:rsidR="00B44510" w:rsidRPr="00636F71">
        <w:rPr>
          <w:i/>
          <w:iCs/>
        </w:rPr>
        <w:t>p</w:t>
      </w:r>
      <w:r w:rsidR="00B44510" w:rsidRPr="00636F71">
        <w:t xml:space="preserve"> &lt; .001</w:t>
      </w:r>
      <w:r w:rsidR="009423AA" w:rsidRPr="00636F71">
        <w:t>,</w:t>
      </w:r>
      <w:r w:rsidR="002F0D9E" w:rsidRPr="00636F71">
        <w:t xml:space="preserve"> </w:t>
      </w:r>
      <w:r w:rsidR="00CA5385" w:rsidRPr="00636F71">
        <w:t xml:space="preserve">95% </w:t>
      </w:r>
      <w:r w:rsidR="002F0D9E" w:rsidRPr="00636F71">
        <w:t>CI = [0.21, 0.51],</w:t>
      </w:r>
      <w:r w:rsidR="009423AA" w:rsidRPr="00636F71">
        <w:t xml:space="preserve"> BF</w:t>
      </w:r>
      <w:r w:rsidR="009423AA" w:rsidRPr="00636F71">
        <w:rPr>
          <w:vertAlign w:val="subscript"/>
        </w:rPr>
        <w:t>10</w:t>
      </w:r>
      <w:r w:rsidR="009423AA" w:rsidRPr="00636F71">
        <w:t xml:space="preserve"> = 1357.19</w:t>
      </w:r>
      <w:r w:rsidR="00B44510" w:rsidRPr="00636F71">
        <w:t>, as was children’s, exploratory</w:t>
      </w:r>
      <w:r w:rsidR="00B44510" w:rsidRPr="00636F71">
        <w:rPr>
          <w:b/>
          <w:bCs/>
        </w:rPr>
        <w:t xml:space="preserve"> </w:t>
      </w:r>
      <w:r w:rsidR="004D360E" w:rsidRPr="00636F71">
        <w:rPr>
          <w:i/>
          <w:iCs/>
        </w:rPr>
        <w:t>r</w:t>
      </w:r>
      <w:r w:rsidR="004D360E" w:rsidRPr="00636F71">
        <w:t xml:space="preserve">(129) = .42, </w:t>
      </w:r>
      <w:r w:rsidR="004D360E" w:rsidRPr="00636F71">
        <w:rPr>
          <w:i/>
          <w:iCs/>
        </w:rPr>
        <w:t>p</w:t>
      </w:r>
      <w:r w:rsidR="004D360E" w:rsidRPr="00636F71">
        <w:t xml:space="preserve"> &lt; .001</w:t>
      </w:r>
      <w:r w:rsidR="0093098F" w:rsidRPr="00636F71">
        <w:t>,</w:t>
      </w:r>
      <w:r w:rsidR="002B23D2" w:rsidRPr="00636F71">
        <w:t xml:space="preserve"> 95% CI = [0.27, 0.55],</w:t>
      </w:r>
      <w:r w:rsidR="0093098F" w:rsidRPr="00636F71">
        <w:t xml:space="preserve"> BF</w:t>
      </w:r>
      <w:r w:rsidR="0093098F" w:rsidRPr="00636F71">
        <w:rPr>
          <w:vertAlign w:val="subscript"/>
        </w:rPr>
        <w:t>10</w:t>
      </w:r>
      <w:r w:rsidR="0093098F" w:rsidRPr="00636F71">
        <w:t xml:space="preserve"> = 24443.48</w:t>
      </w:r>
      <w:r w:rsidR="004D360E" w:rsidRPr="00636F71">
        <w:t>.</w:t>
      </w:r>
    </w:p>
    <w:p w14:paraId="2B43C063" w14:textId="1622BE07" w:rsidR="00572FE0" w:rsidRDefault="00572FE0" w:rsidP="005A785C">
      <w:pPr>
        <w:pStyle w:val="Heading2"/>
        <w:spacing w:line="240" w:lineRule="auto"/>
        <w:jc w:val="both"/>
      </w:pPr>
      <w:r w:rsidRPr="00636F71">
        <w:t>Experiment</w:t>
      </w:r>
      <w:r w:rsidR="00080BBB" w:rsidRPr="00636F71">
        <w:t>s 2A (Adults) and 2B (Children)</w:t>
      </w:r>
    </w:p>
    <w:p w14:paraId="6624D1C9" w14:textId="77777777" w:rsidR="00321E9D" w:rsidRPr="00636F71" w:rsidRDefault="00321E9D" w:rsidP="005A785C">
      <w:pPr>
        <w:spacing w:line="240" w:lineRule="auto"/>
        <w:jc w:val="both"/>
      </w:pPr>
      <w:r w:rsidRPr="00636F71">
        <w:t>The approach in Experiment 1 sheds light onto similarities and differences in confidence sensitivity vs. bias for memory and perception, but it leaves another question unanswered: are the distinct confidence representations for memory and perception nevertheless represented on the same scale, or are they represented on separable scales with their own units. To address this question, we next took these same stimuli and tested whether children and adults could flexibly compare their confidence across memory and perceptual decisions, despite there being inconsistent correlated individual differences across these domains.</w:t>
      </w:r>
    </w:p>
    <w:p w14:paraId="7466CA55" w14:textId="77777777" w:rsidR="00572FE0" w:rsidRPr="00636F71" w:rsidRDefault="00572FE0" w:rsidP="005A785C">
      <w:pPr>
        <w:pStyle w:val="Heading3"/>
        <w:spacing w:line="240" w:lineRule="auto"/>
        <w:jc w:val="both"/>
      </w:pPr>
      <w:r w:rsidRPr="00636F71">
        <w:t>Confidence Comparison</w:t>
      </w:r>
    </w:p>
    <w:p w14:paraId="3DE16B7F" w14:textId="77777777" w:rsidR="00874189" w:rsidRDefault="006E0502" w:rsidP="005A785C">
      <w:pPr>
        <w:spacing w:line="240" w:lineRule="auto"/>
        <w:ind w:firstLine="720"/>
        <w:jc w:val="both"/>
      </w:pPr>
      <w:r w:rsidRPr="00636F71">
        <w:rPr>
          <w:b/>
          <w:bCs/>
        </w:rPr>
        <w:t>Adults.</w:t>
      </w:r>
      <w:r w:rsidRPr="00636F71">
        <w:t xml:space="preserve"> A 2 (Confidence Choice: Chosen, Discarded) x 2 (Comparison Type: Within-Domain, Across-Domain) repeated-measures ANOVA on </w:t>
      </w:r>
    </w:p>
    <w:p w14:paraId="0748D295" w14:textId="3B34239B" w:rsidR="00874189" w:rsidRDefault="00874189" w:rsidP="00874189">
      <w:pPr>
        <w:spacing w:line="240" w:lineRule="auto"/>
        <w:ind w:firstLine="0"/>
        <w:jc w:val="both"/>
      </w:pPr>
      <w:r w:rsidRPr="00874189">
        <w:rPr>
          <w:noProof/>
        </w:rPr>
        <w:lastRenderedPageBreak/>
        <w:drawing>
          <wp:inline distT="0" distB="0" distL="0" distR="0" wp14:anchorId="5A46B4F8" wp14:editId="71AC92E0">
            <wp:extent cx="3285490" cy="3799840"/>
            <wp:effectExtent l="0" t="0" r="0" b="0"/>
            <wp:docPr id="6338938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9384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85490" cy="3799840"/>
                    </a:xfrm>
                    <a:prstGeom prst="rect">
                      <a:avLst/>
                    </a:prstGeom>
                  </pic:spPr>
                </pic:pic>
              </a:graphicData>
            </a:graphic>
          </wp:inline>
        </w:drawing>
      </w:r>
    </w:p>
    <w:p w14:paraId="6B027886" w14:textId="77777777" w:rsidR="00874189" w:rsidRPr="00874189" w:rsidRDefault="00874189" w:rsidP="00874189">
      <w:pPr>
        <w:spacing w:line="240" w:lineRule="auto"/>
        <w:ind w:firstLine="0"/>
        <w:rPr>
          <w:sz w:val="20"/>
          <w:szCs w:val="20"/>
        </w:rPr>
      </w:pPr>
      <w:r w:rsidRPr="00874189">
        <w:rPr>
          <w:sz w:val="20"/>
          <w:szCs w:val="20"/>
        </w:rPr>
        <w:t xml:space="preserve">Figure 6. </w:t>
      </w:r>
      <w:r w:rsidRPr="00874189">
        <w:rPr>
          <w:b/>
          <w:bCs/>
          <w:sz w:val="20"/>
          <w:szCs w:val="20"/>
        </w:rPr>
        <w:t>Accuracy as a function of Confidence Choice and Comparison Type.</w:t>
      </w:r>
    </w:p>
    <w:p w14:paraId="58D69341" w14:textId="77777777" w:rsidR="00874189" w:rsidRPr="00874189" w:rsidRDefault="00874189" w:rsidP="00874189">
      <w:pPr>
        <w:spacing w:line="240" w:lineRule="auto"/>
        <w:ind w:firstLine="0"/>
        <w:rPr>
          <w:sz w:val="20"/>
          <w:szCs w:val="20"/>
        </w:rPr>
      </w:pPr>
      <w:r w:rsidRPr="00874189">
        <w:rPr>
          <w:sz w:val="20"/>
          <w:szCs w:val="20"/>
        </w:rPr>
        <w:t>Perceptual/Memory accuracy as a function of Confidence Choice (Chosen or Discarded) and Comparison Type (Across-Domain or Within-Domain) for (A) adults (N = 107) and (B) children (N = 132). Dots represent individual participants and are randomly jittered for visibility.</w:t>
      </w:r>
    </w:p>
    <w:p w14:paraId="794FA05B" w14:textId="77777777" w:rsidR="00874189" w:rsidRDefault="00874189" w:rsidP="00874189">
      <w:pPr>
        <w:spacing w:line="240" w:lineRule="auto"/>
        <w:ind w:firstLine="0"/>
        <w:jc w:val="both"/>
      </w:pPr>
    </w:p>
    <w:p w14:paraId="6D711FCF" w14:textId="0BE5BB23" w:rsidR="005F5606" w:rsidRPr="00636F71" w:rsidRDefault="006E0502" w:rsidP="00874189">
      <w:pPr>
        <w:spacing w:line="240" w:lineRule="auto"/>
        <w:ind w:firstLine="0"/>
        <w:jc w:val="both"/>
      </w:pPr>
      <w:r w:rsidRPr="00636F71">
        <w:t>Memory/Percept</w:t>
      </w:r>
      <w:r w:rsidR="00187F27" w:rsidRPr="00636F71">
        <w:t>ion</w:t>
      </w:r>
      <w:r w:rsidRPr="00636F71">
        <w:t xml:space="preserve"> accuracy found </w:t>
      </w:r>
      <w:r w:rsidR="001776AE" w:rsidRPr="00636F71">
        <w:t>adults’ (N = 107)</w:t>
      </w:r>
      <w:r w:rsidRPr="00636F71">
        <w:t xml:space="preserve"> confidence choices reflected their accuracy: Chosen trials </w:t>
      </w:r>
      <w:r w:rsidR="00187F27" w:rsidRPr="00636F71">
        <w:t xml:space="preserve">were more </w:t>
      </w:r>
      <w:r w:rsidRPr="00636F71">
        <w:t>accura</w:t>
      </w:r>
      <w:r w:rsidR="00187F27" w:rsidRPr="00636F71">
        <w:t>te</w:t>
      </w:r>
      <w:r w:rsidRPr="00636F71">
        <w:t xml:space="preserve"> than Discarded trials,</w:t>
      </w:r>
      <w:r w:rsidRPr="00636F71">
        <w:rPr>
          <w:b/>
          <w:bCs/>
        </w:rPr>
        <w:t xml:space="preserve"> </w:t>
      </w:r>
      <w:r w:rsidRPr="00636F71">
        <w:rPr>
          <w:i/>
        </w:rPr>
        <w:t>F</w:t>
      </w:r>
      <w:r w:rsidRPr="00636F71">
        <w:t xml:space="preserve">(1, 106) = 198.64, </w:t>
      </w:r>
      <w:r w:rsidRPr="00636F71">
        <w:rPr>
          <w:i/>
        </w:rPr>
        <w:t>p</w:t>
      </w:r>
      <w:r w:rsidRPr="00636F71">
        <w:t xml:space="preserve"> &lt; .001, </w:t>
      </w:r>
      <w:r w:rsidRPr="00636F71">
        <w:sym w:font="Symbol" w:char="F068"/>
      </w:r>
      <w:r w:rsidRPr="00636F71">
        <w:rPr>
          <w:vertAlign w:val="subscript"/>
        </w:rPr>
        <w:t>p</w:t>
      </w:r>
      <w:r w:rsidRPr="00636F71">
        <w:rPr>
          <w:vertAlign w:val="superscript"/>
        </w:rPr>
        <w:t>2</w:t>
      </w:r>
      <w:r w:rsidRPr="00636F71">
        <w:t xml:space="preserve"> = .65, see Figure </w:t>
      </w:r>
      <w:r w:rsidR="00347281" w:rsidRPr="00636F71">
        <w:t>6</w:t>
      </w:r>
      <w:r w:rsidR="00D566E3" w:rsidRPr="00636F71">
        <w:t>A</w:t>
      </w:r>
      <w:r w:rsidRPr="00636F71">
        <w:t xml:space="preserve">. Importantly, this main effect of Confidence Choice was not qualified by </w:t>
      </w:r>
      <w:r w:rsidR="00837795" w:rsidRPr="00636F71">
        <w:t xml:space="preserve">an interaction with </w:t>
      </w:r>
      <w:r w:rsidRPr="00636F71">
        <w:t xml:space="preserve">Comparison Type, </w:t>
      </w:r>
      <w:r w:rsidRPr="00636F71">
        <w:rPr>
          <w:i/>
          <w:iCs/>
        </w:rPr>
        <w:t>F</w:t>
      </w:r>
      <w:r w:rsidRPr="00636F71">
        <w:t xml:space="preserve">(1, 106) = 2.59, </w:t>
      </w:r>
      <w:r w:rsidRPr="00636F71">
        <w:rPr>
          <w:i/>
          <w:iCs/>
        </w:rPr>
        <w:t>p</w:t>
      </w:r>
      <w:r w:rsidRPr="00636F71">
        <w:t xml:space="preserve"> = .111, </w:t>
      </w:r>
      <w:r w:rsidRPr="00636F71">
        <w:sym w:font="Symbol" w:char="F068"/>
      </w:r>
      <w:r w:rsidRPr="00636F71">
        <w:rPr>
          <w:vertAlign w:val="subscript"/>
        </w:rPr>
        <w:t>p</w:t>
      </w:r>
      <w:r w:rsidRPr="00636F71">
        <w:rPr>
          <w:vertAlign w:val="superscript"/>
        </w:rPr>
        <w:t>2</w:t>
      </w:r>
      <w:r w:rsidRPr="00636F71">
        <w:t xml:space="preserve"> = .02, suggesting that Within-Domain </w:t>
      </w:r>
      <w:r w:rsidR="00837795" w:rsidRPr="00636F71">
        <w:t xml:space="preserve">Confidence Choice did not show any advantage over </w:t>
      </w:r>
      <w:r w:rsidRPr="00636F71">
        <w:t>Across-Domain</w:t>
      </w:r>
      <w:r w:rsidR="00837795" w:rsidRPr="00636F71">
        <w:t xml:space="preserve"> Confidence Choice</w:t>
      </w:r>
      <w:r w:rsidRPr="00636F71">
        <w:t xml:space="preserve">. There was no main effect of Comparison Type, </w:t>
      </w:r>
      <w:r w:rsidRPr="00636F71">
        <w:rPr>
          <w:i/>
          <w:iCs/>
        </w:rPr>
        <w:t>p</w:t>
      </w:r>
      <w:r w:rsidRPr="00636F71">
        <w:t xml:space="preserve"> = .469. An identical Bayesian RM ANOVA found overwhelming evidence for the Confidence main effect, </w:t>
      </w:r>
      <w:r w:rsidR="00EC5B79" w:rsidRPr="00636F71">
        <w:t>80</w:t>
      </w:r>
      <w:r w:rsidRPr="00636F71">
        <w:t>% probability given the data, BF</w:t>
      </w:r>
      <w:r w:rsidRPr="00636F71">
        <w:rPr>
          <w:vertAlign w:val="subscript"/>
        </w:rPr>
        <w:t>10</w:t>
      </w:r>
      <w:r w:rsidRPr="00636F71">
        <w:t xml:space="preserve"> = 7.</w:t>
      </w:r>
      <w:r w:rsidR="00EC5B79" w:rsidRPr="00636F71">
        <w:t>813</w:t>
      </w:r>
      <w:r w:rsidRPr="00636F71">
        <w:t xml:space="preserve"> × 10</w:t>
      </w:r>
      <w:r w:rsidRPr="00636F71">
        <w:rPr>
          <w:vertAlign w:val="superscript"/>
        </w:rPr>
        <w:t>22</w:t>
      </w:r>
      <w:r w:rsidRPr="00636F71">
        <w:t xml:space="preserve">. The model including the Confidence by Condition interaction was </w:t>
      </w:r>
      <w:r w:rsidR="0004425A" w:rsidRPr="00636F71">
        <w:t>9.8</w:t>
      </w:r>
      <w:r w:rsidRPr="00636F71">
        <w:t xml:space="preserve"> times </w:t>
      </w:r>
      <w:r w:rsidRPr="00636F71">
        <w:rPr>
          <w:i/>
          <w:iCs/>
        </w:rPr>
        <w:t>less</w:t>
      </w:r>
      <w:r w:rsidRPr="00636F71">
        <w:t xml:space="preserve"> likely (</w:t>
      </w:r>
      <w:r w:rsidR="0004425A" w:rsidRPr="00636F71">
        <w:t>8</w:t>
      </w:r>
      <w:r w:rsidRPr="00636F71">
        <w:t>% probability, BF</w:t>
      </w:r>
      <w:r w:rsidRPr="00636F71">
        <w:rPr>
          <w:vertAlign w:val="subscript"/>
        </w:rPr>
        <w:t>10</w:t>
      </w:r>
      <w:r w:rsidRPr="00636F71">
        <w:t xml:space="preserve"> = 0.10), providing very strong evidence of no interaction.</w:t>
      </w:r>
    </w:p>
    <w:p w14:paraId="2D0B0A27" w14:textId="45488FD7" w:rsidR="006E0502" w:rsidRPr="00636F71" w:rsidRDefault="006E0502" w:rsidP="005A785C">
      <w:pPr>
        <w:spacing w:line="240" w:lineRule="auto"/>
        <w:ind w:firstLine="720"/>
        <w:jc w:val="both"/>
      </w:pPr>
      <w:r w:rsidRPr="00636F71">
        <w:rPr>
          <w:b/>
          <w:bCs/>
        </w:rPr>
        <w:t>Children.</w:t>
      </w:r>
      <w:r w:rsidRPr="00636F71">
        <w:t xml:space="preserve"> </w:t>
      </w:r>
      <w:bookmarkStart w:id="14" w:name="_Hlk213256172"/>
      <w:r w:rsidRPr="00636F71">
        <w:t>A 2 (Confidence Choice: Chosen, Discarded) x 2 (Comparison Type: Within-Domain, Across-Domain) x 2 (Age: Younger</w:t>
      </w:r>
      <w:r w:rsidR="00C37653" w:rsidRPr="00636F71">
        <w:t xml:space="preserve"> [4-5]</w:t>
      </w:r>
      <w:r w:rsidRPr="00636F71">
        <w:t>, Older</w:t>
      </w:r>
      <w:r w:rsidR="00C37653" w:rsidRPr="00636F71">
        <w:t xml:space="preserve"> [6-7]</w:t>
      </w:r>
      <w:r w:rsidRPr="00636F71">
        <w:t xml:space="preserve">) repeated-measures ANOVA </w:t>
      </w:r>
      <w:bookmarkEnd w:id="14"/>
      <w:r w:rsidRPr="00636F71">
        <w:t xml:space="preserve">on </w:t>
      </w:r>
      <w:r w:rsidR="001776AE" w:rsidRPr="00636F71">
        <w:t xml:space="preserve">children’s (N =132, M = 5;11 [years;months], range = 4;0 - 7;11, 63 females, 69 males) </w:t>
      </w:r>
      <w:r w:rsidRPr="00636F71">
        <w:t>Memory/Perceptual accuracy found a significant main effect of Confidence Choice,</w:t>
      </w:r>
      <w:r w:rsidRPr="00636F71">
        <w:rPr>
          <w:b/>
          <w:bCs/>
        </w:rPr>
        <w:t xml:space="preserve"> </w:t>
      </w:r>
      <w:r w:rsidRPr="00636F71">
        <w:rPr>
          <w:i/>
        </w:rPr>
        <w:t>F</w:t>
      </w:r>
      <w:r w:rsidRPr="00636F71">
        <w:t xml:space="preserve">(1, 130) = 22.65, </w:t>
      </w:r>
      <w:r w:rsidRPr="00636F71">
        <w:rPr>
          <w:i/>
        </w:rPr>
        <w:t>p</w:t>
      </w:r>
      <w:r w:rsidRPr="00636F71">
        <w:t xml:space="preserve"> = &lt;.001, </w:t>
      </w:r>
      <w:r w:rsidRPr="00636F71">
        <w:sym w:font="Symbol" w:char="F068"/>
      </w:r>
      <w:r w:rsidRPr="00636F71">
        <w:rPr>
          <w:vertAlign w:val="subscript"/>
        </w:rPr>
        <w:t>p</w:t>
      </w:r>
      <w:r w:rsidRPr="00636F71">
        <w:rPr>
          <w:vertAlign w:val="superscript"/>
        </w:rPr>
        <w:t>2</w:t>
      </w:r>
      <w:r w:rsidRPr="00636F71">
        <w:t xml:space="preserve"> = .15, see Figure </w:t>
      </w:r>
      <w:r w:rsidR="00347281" w:rsidRPr="00636F71">
        <w:t>6</w:t>
      </w:r>
      <w:r w:rsidR="00D566E3" w:rsidRPr="00636F71">
        <w:t>B</w:t>
      </w:r>
      <w:r w:rsidRPr="00636F71">
        <w:t xml:space="preserve">. Thus, consistent with previous work, children’s confidence choices reflected their accuracy: Chosen trials had higher accuracy than Discarded trials. </w:t>
      </w:r>
      <w:r w:rsidR="00364F3F" w:rsidRPr="00636F71">
        <w:t xml:space="preserve">Importantly, the main effect of Confidence Choice was qualified by an </w:t>
      </w:r>
      <w:r w:rsidR="00837795" w:rsidRPr="00636F71">
        <w:t xml:space="preserve">interaction with </w:t>
      </w:r>
      <w:r w:rsidR="00364F3F" w:rsidRPr="00636F71">
        <w:t xml:space="preserve">Age </w:t>
      </w:r>
      <w:r w:rsidR="00837795" w:rsidRPr="00636F71">
        <w:t xml:space="preserve">and </w:t>
      </w:r>
      <w:r w:rsidR="00364F3F" w:rsidRPr="00636F71">
        <w:t xml:space="preserve">Comparison Type, </w:t>
      </w:r>
      <w:r w:rsidR="00364F3F" w:rsidRPr="00636F71">
        <w:rPr>
          <w:i/>
          <w:iCs/>
        </w:rPr>
        <w:t>F</w:t>
      </w:r>
      <w:r w:rsidR="00364F3F" w:rsidRPr="00636F71">
        <w:t>(1, 1</w:t>
      </w:r>
      <w:r w:rsidR="00F517B9" w:rsidRPr="00636F71">
        <w:t>30</w:t>
      </w:r>
      <w:r w:rsidR="00364F3F" w:rsidRPr="00636F71">
        <w:t>) = 6.</w:t>
      </w:r>
      <w:r w:rsidR="00F517B9" w:rsidRPr="00636F71">
        <w:t>03</w:t>
      </w:r>
      <w:r w:rsidR="00364F3F" w:rsidRPr="00636F71">
        <w:t xml:space="preserve">, </w:t>
      </w:r>
      <w:r w:rsidR="00364F3F" w:rsidRPr="00636F71">
        <w:rPr>
          <w:i/>
          <w:iCs/>
        </w:rPr>
        <w:t>p</w:t>
      </w:r>
      <w:r w:rsidR="00364F3F" w:rsidRPr="00636F71">
        <w:t xml:space="preserve"> = .01</w:t>
      </w:r>
      <w:r w:rsidR="00F517B9" w:rsidRPr="00636F71">
        <w:t>5</w:t>
      </w:r>
      <w:r w:rsidR="00364F3F" w:rsidRPr="00636F71">
        <w:t xml:space="preserve">, </w:t>
      </w:r>
      <w:r w:rsidR="00364F3F" w:rsidRPr="00636F71">
        <w:sym w:font="Symbol" w:char="F068"/>
      </w:r>
      <w:r w:rsidR="00364F3F" w:rsidRPr="00636F71">
        <w:rPr>
          <w:vertAlign w:val="subscript"/>
        </w:rPr>
        <w:t>p</w:t>
      </w:r>
      <w:r w:rsidR="00364F3F" w:rsidRPr="00636F71">
        <w:rPr>
          <w:vertAlign w:val="superscript"/>
        </w:rPr>
        <w:t>2</w:t>
      </w:r>
      <w:r w:rsidR="00364F3F" w:rsidRPr="00636F71">
        <w:t xml:space="preserve"> = .0</w:t>
      </w:r>
      <w:r w:rsidR="00F517B9" w:rsidRPr="00636F71">
        <w:t>4</w:t>
      </w:r>
      <w:r w:rsidR="00364F3F" w:rsidRPr="00636F71">
        <w:t xml:space="preserve">. </w:t>
      </w:r>
      <w:r w:rsidR="00112907" w:rsidRPr="00636F71">
        <w:t>The best-fitting model from an analogous RM Bayesian ANOVA included the three-way interaction, BF</w:t>
      </w:r>
      <w:r w:rsidR="00112907" w:rsidRPr="00636F71">
        <w:rPr>
          <w:vertAlign w:val="subscript"/>
        </w:rPr>
        <w:t>10</w:t>
      </w:r>
      <w:r w:rsidR="00112907" w:rsidRPr="00636F71">
        <w:t xml:space="preserve"> &gt; </w:t>
      </w:r>
      <w:r w:rsidR="000E1B7A" w:rsidRPr="00636F71">
        <w:t>20</w:t>
      </w:r>
      <w:r w:rsidR="00112907" w:rsidRPr="00636F71">
        <w:t xml:space="preserve"> 000 000, </w:t>
      </w:r>
      <w:r w:rsidR="000E1B7A" w:rsidRPr="00636F71">
        <w:t>50</w:t>
      </w:r>
      <w:r w:rsidR="00112907" w:rsidRPr="00636F71">
        <w:t xml:space="preserve">% probability given the data. </w:t>
      </w:r>
      <w:r w:rsidR="00364F3F" w:rsidRPr="00636F71">
        <w:t>We therefore conducted separate repeated measures ANOVAs for Confidence</w:t>
      </w:r>
      <w:r w:rsidR="00F517B9" w:rsidRPr="00636F71">
        <w:t xml:space="preserve"> Choice</w:t>
      </w:r>
      <w:r w:rsidR="00364F3F" w:rsidRPr="00636F71">
        <w:t xml:space="preserve"> and Comparison Type within each age group.</w:t>
      </w:r>
    </w:p>
    <w:p w14:paraId="0AA49CB4" w14:textId="6D31D9BB" w:rsidR="00F517B9" w:rsidRPr="00636F71" w:rsidRDefault="00364F3F" w:rsidP="005A785C">
      <w:pPr>
        <w:spacing w:line="240" w:lineRule="auto"/>
        <w:ind w:firstLine="720"/>
        <w:jc w:val="both"/>
      </w:pPr>
      <w:r w:rsidRPr="00636F71">
        <w:t xml:space="preserve">As shown in Figure </w:t>
      </w:r>
      <w:r w:rsidR="00347281" w:rsidRPr="00636F71">
        <w:t>6</w:t>
      </w:r>
      <w:r w:rsidR="00D566E3" w:rsidRPr="00636F71">
        <w:t>B</w:t>
      </w:r>
      <w:r w:rsidRPr="00636F71">
        <w:t xml:space="preserve">, older children </w:t>
      </w:r>
      <w:r w:rsidR="00837795" w:rsidRPr="00636F71">
        <w:t xml:space="preserve">responded more accurately </w:t>
      </w:r>
      <w:r w:rsidRPr="00636F71">
        <w:t xml:space="preserve">on Chosen trials </w:t>
      </w:r>
      <w:r w:rsidR="00837795" w:rsidRPr="00636F71">
        <w:t xml:space="preserve">compared to </w:t>
      </w:r>
      <w:r w:rsidRPr="00636F71">
        <w:t xml:space="preserve">Discarded trials, </w:t>
      </w:r>
      <w:r w:rsidRPr="00636F71">
        <w:rPr>
          <w:i/>
          <w:iCs/>
        </w:rPr>
        <w:t>F</w:t>
      </w:r>
      <w:r w:rsidRPr="00636F71">
        <w:t>(1, 6</w:t>
      </w:r>
      <w:r w:rsidR="00F517B9" w:rsidRPr="00636F71">
        <w:t>5</w:t>
      </w:r>
      <w:r w:rsidRPr="00636F71">
        <w:t xml:space="preserve">) = </w:t>
      </w:r>
      <w:r w:rsidR="00F517B9" w:rsidRPr="00636F71">
        <w:t>35.00</w:t>
      </w:r>
      <w:r w:rsidRPr="00636F71">
        <w:t xml:space="preserve">, </w:t>
      </w:r>
      <w:r w:rsidRPr="00636F71">
        <w:rPr>
          <w:i/>
          <w:iCs/>
        </w:rPr>
        <w:t>p</w:t>
      </w:r>
      <w:r w:rsidRPr="00636F71">
        <w:t xml:space="preserve"> &lt; .001, </w:t>
      </w:r>
      <w:r w:rsidRPr="00636F71">
        <w:sym w:font="Symbol" w:char="F068"/>
      </w:r>
      <w:r w:rsidRPr="00636F71">
        <w:rPr>
          <w:vertAlign w:val="subscript"/>
        </w:rPr>
        <w:t>p</w:t>
      </w:r>
      <w:r w:rsidRPr="00636F71">
        <w:rPr>
          <w:vertAlign w:val="superscript"/>
        </w:rPr>
        <w:t>2</w:t>
      </w:r>
      <w:r w:rsidRPr="00636F71">
        <w:t xml:space="preserve"> = .35, and </w:t>
      </w:r>
      <w:r w:rsidR="006A57CD" w:rsidRPr="00636F71">
        <w:t xml:space="preserve">on </w:t>
      </w:r>
      <w:r w:rsidRPr="00636F71">
        <w:t>Across-Domain trials</w:t>
      </w:r>
      <w:r w:rsidR="00837795" w:rsidRPr="00636F71">
        <w:t xml:space="preserve"> relative to</w:t>
      </w:r>
      <w:r w:rsidRPr="00636F71">
        <w:t xml:space="preserve"> Within-Domain trials, </w:t>
      </w:r>
      <w:r w:rsidRPr="00636F71">
        <w:rPr>
          <w:i/>
          <w:iCs/>
        </w:rPr>
        <w:t>F</w:t>
      </w:r>
      <w:r w:rsidRPr="00636F71">
        <w:t>(1, 6</w:t>
      </w:r>
      <w:r w:rsidR="00F517B9" w:rsidRPr="00636F71">
        <w:t>5</w:t>
      </w:r>
      <w:r w:rsidRPr="00636F71">
        <w:t xml:space="preserve">) = </w:t>
      </w:r>
      <w:r w:rsidR="00F517B9" w:rsidRPr="00636F71">
        <w:t>21.10</w:t>
      </w:r>
      <w:r w:rsidRPr="00636F71">
        <w:t xml:space="preserve">, </w:t>
      </w:r>
      <w:r w:rsidRPr="00636F71">
        <w:rPr>
          <w:i/>
          <w:iCs/>
        </w:rPr>
        <w:t>p</w:t>
      </w:r>
      <w:r w:rsidRPr="00636F71">
        <w:t xml:space="preserve"> &lt; .001, </w:t>
      </w:r>
      <w:r w:rsidRPr="00636F71">
        <w:sym w:font="Symbol" w:char="F068"/>
      </w:r>
      <w:r w:rsidRPr="00636F71">
        <w:rPr>
          <w:vertAlign w:val="subscript"/>
        </w:rPr>
        <w:t>p</w:t>
      </w:r>
      <w:r w:rsidRPr="00636F71">
        <w:rPr>
          <w:vertAlign w:val="superscript"/>
        </w:rPr>
        <w:t>2</w:t>
      </w:r>
      <w:r w:rsidRPr="00636F71">
        <w:t xml:space="preserve"> = .2</w:t>
      </w:r>
      <w:r w:rsidR="00F517B9" w:rsidRPr="00636F71">
        <w:t>5</w:t>
      </w:r>
      <w:r w:rsidRPr="00636F71">
        <w:t>. There was no interaction between Confidence Choice and Comparison Type in older children</w:t>
      </w:r>
      <w:r w:rsidR="006A57CD" w:rsidRPr="00636F71">
        <w:t>,</w:t>
      </w:r>
      <w:r w:rsidR="006F5B51" w:rsidRPr="00636F71">
        <w:t xml:space="preserve"> </w:t>
      </w:r>
      <w:r w:rsidR="006F5B51" w:rsidRPr="00636F71">
        <w:rPr>
          <w:i/>
          <w:iCs/>
        </w:rPr>
        <w:t>F</w:t>
      </w:r>
      <w:r w:rsidR="006F5B51" w:rsidRPr="00636F71">
        <w:t>(1, 6</w:t>
      </w:r>
      <w:r w:rsidR="00F517B9" w:rsidRPr="00636F71">
        <w:t>5</w:t>
      </w:r>
      <w:r w:rsidR="006F5B51" w:rsidRPr="00636F71">
        <w:t>) = 1.</w:t>
      </w:r>
      <w:r w:rsidR="00F517B9" w:rsidRPr="00636F71">
        <w:t>46</w:t>
      </w:r>
      <w:r w:rsidR="006F5B51" w:rsidRPr="00636F71">
        <w:t xml:space="preserve">, </w:t>
      </w:r>
      <w:r w:rsidR="006F5B51" w:rsidRPr="00636F71">
        <w:rPr>
          <w:i/>
          <w:iCs/>
        </w:rPr>
        <w:t>p</w:t>
      </w:r>
      <w:r w:rsidR="006F5B51" w:rsidRPr="00636F71">
        <w:t xml:space="preserve"> = .2</w:t>
      </w:r>
      <w:r w:rsidR="00F517B9" w:rsidRPr="00636F71">
        <w:t>31</w:t>
      </w:r>
      <w:r w:rsidR="006F5B51" w:rsidRPr="00636F71">
        <w:t xml:space="preserve">, </w:t>
      </w:r>
      <w:r w:rsidR="006F5B51" w:rsidRPr="00636F71">
        <w:sym w:font="Symbol" w:char="F068"/>
      </w:r>
      <w:r w:rsidR="006F5B51" w:rsidRPr="00636F71">
        <w:rPr>
          <w:vertAlign w:val="subscript"/>
        </w:rPr>
        <w:t>p</w:t>
      </w:r>
      <w:r w:rsidR="006F5B51" w:rsidRPr="00636F71">
        <w:rPr>
          <w:vertAlign w:val="superscript"/>
        </w:rPr>
        <w:t>2</w:t>
      </w:r>
      <w:r w:rsidR="006F5B51" w:rsidRPr="00636F71">
        <w:t xml:space="preserve"> = .02</w:t>
      </w:r>
      <w:r w:rsidR="00112907" w:rsidRPr="00636F71">
        <w:t xml:space="preserve">. The best-fitting model from an analogous Bayesian RM ANOVA included main effects of Confidence and Condition without an interaction, </w:t>
      </w:r>
      <w:r w:rsidR="000E1B7A" w:rsidRPr="00636F71">
        <w:t>70</w:t>
      </w:r>
      <w:r w:rsidR="00112907" w:rsidRPr="00636F71">
        <w:t>% probability, BF</w:t>
      </w:r>
      <w:r w:rsidR="00112907" w:rsidRPr="00636F71">
        <w:rPr>
          <w:vertAlign w:val="subscript"/>
        </w:rPr>
        <w:t>10</w:t>
      </w:r>
      <w:r w:rsidR="00112907" w:rsidRPr="00636F71">
        <w:t xml:space="preserve"> &gt; 2</w:t>
      </w:r>
      <w:r w:rsidR="000E1B7A" w:rsidRPr="00636F71">
        <w:t>0</w:t>
      </w:r>
      <w:r w:rsidR="00112907" w:rsidRPr="00636F71">
        <w:t xml:space="preserve"> 000 000. The model including an interaction term was 2.</w:t>
      </w:r>
      <w:r w:rsidR="009A3F70" w:rsidRPr="00636F71">
        <w:t>23</w:t>
      </w:r>
      <w:r w:rsidR="00112907" w:rsidRPr="00636F71">
        <w:t xml:space="preserve"> times </w:t>
      </w:r>
      <w:r w:rsidR="00112907" w:rsidRPr="00636F71">
        <w:rPr>
          <w:i/>
          <w:iCs/>
        </w:rPr>
        <w:t>less</w:t>
      </w:r>
      <w:r w:rsidR="00112907" w:rsidRPr="00636F71">
        <w:t xml:space="preserve"> likely, with </w:t>
      </w:r>
      <w:r w:rsidR="009A3F70" w:rsidRPr="00636F71">
        <w:t>30</w:t>
      </w:r>
      <w:r w:rsidR="00112907" w:rsidRPr="00636F71">
        <w:t>% probability, BF</w:t>
      </w:r>
      <w:r w:rsidR="00112907" w:rsidRPr="00636F71">
        <w:rPr>
          <w:vertAlign w:val="subscript"/>
        </w:rPr>
        <w:t>10</w:t>
      </w:r>
      <w:r w:rsidR="00112907" w:rsidRPr="00636F71">
        <w:t xml:space="preserve"> = 0.</w:t>
      </w:r>
      <w:r w:rsidR="009A3F70" w:rsidRPr="00636F71">
        <w:t>44</w:t>
      </w:r>
      <w:r w:rsidR="00112907" w:rsidRPr="00636F71">
        <w:t xml:space="preserve"> relative to the best-fitting model.</w:t>
      </w:r>
      <w:r w:rsidR="006F5B51" w:rsidRPr="00636F71">
        <w:t xml:space="preserve"> </w:t>
      </w:r>
      <w:r w:rsidR="00112907" w:rsidRPr="00636F71">
        <w:t>Together this suggests that 6-7-year-olds’</w:t>
      </w:r>
      <w:r w:rsidR="006F5B51" w:rsidRPr="00636F71">
        <w:t xml:space="preserve"> sensitivity in comparing confidence was </w:t>
      </w:r>
      <w:r w:rsidR="006F5B51" w:rsidRPr="00D35B02">
        <w:t>not</w:t>
      </w:r>
      <w:r w:rsidR="006F5B51" w:rsidRPr="00636F71">
        <w:t xml:space="preserve"> different within versus across domains.</w:t>
      </w:r>
    </w:p>
    <w:p w14:paraId="0E4796D1" w14:textId="1183608A" w:rsidR="005F5606" w:rsidRPr="00636F71" w:rsidRDefault="006F5B51" w:rsidP="005A785C">
      <w:pPr>
        <w:spacing w:line="240" w:lineRule="auto"/>
        <w:ind w:firstLine="720"/>
        <w:jc w:val="both"/>
      </w:pPr>
      <w:r w:rsidRPr="00636F71">
        <w:t>Younger children’s accuracy, in contrast, did not differ by Confidence Choice</w:t>
      </w:r>
      <w:r w:rsidR="004007CC">
        <w:t xml:space="preserve">, </w:t>
      </w:r>
      <w:r w:rsidR="004007CC">
        <w:rPr>
          <w:i/>
          <w:iCs/>
        </w:rPr>
        <w:t>F</w:t>
      </w:r>
      <w:r w:rsidR="004007CC">
        <w:t xml:space="preserve">(1, 65) = 0.69, </w:t>
      </w:r>
      <w:r w:rsidR="004007CC">
        <w:rPr>
          <w:i/>
          <w:iCs/>
        </w:rPr>
        <w:t>p</w:t>
      </w:r>
      <w:r w:rsidR="004007CC">
        <w:t xml:space="preserve"> = .411,</w:t>
      </w:r>
      <w:r w:rsidR="004007CC" w:rsidRPr="004007CC">
        <w:t xml:space="preserve"> </w:t>
      </w:r>
      <w:r w:rsidR="004007CC" w:rsidRPr="00636F71">
        <w:sym w:font="Symbol" w:char="F068"/>
      </w:r>
      <w:r w:rsidR="004007CC" w:rsidRPr="00636F71">
        <w:rPr>
          <w:vertAlign w:val="subscript"/>
        </w:rPr>
        <w:t>p</w:t>
      </w:r>
      <w:r w:rsidR="004007CC" w:rsidRPr="00636F71">
        <w:rPr>
          <w:vertAlign w:val="superscript"/>
        </w:rPr>
        <w:t>2</w:t>
      </w:r>
      <w:r w:rsidR="004007CC">
        <w:t xml:space="preserve"> = .01,</w:t>
      </w:r>
      <w:r w:rsidRPr="00636F71">
        <w:t xml:space="preserve"> or Comparison Type alone,</w:t>
      </w:r>
      <w:r w:rsidR="004007CC">
        <w:t xml:space="preserve"> </w:t>
      </w:r>
      <w:r w:rsidR="004007CC">
        <w:rPr>
          <w:i/>
          <w:iCs/>
        </w:rPr>
        <w:t>F</w:t>
      </w:r>
      <w:r w:rsidR="004007CC">
        <w:t xml:space="preserve">(1,65) = 3.87, </w:t>
      </w:r>
      <w:r w:rsidR="004007CC">
        <w:rPr>
          <w:i/>
          <w:iCs/>
        </w:rPr>
        <w:t>p</w:t>
      </w:r>
      <w:r w:rsidR="004007CC">
        <w:t xml:space="preserve"> = .053, </w:t>
      </w:r>
      <w:r w:rsidR="004007CC" w:rsidRPr="00636F71">
        <w:sym w:font="Symbol" w:char="F068"/>
      </w:r>
      <w:r w:rsidR="004007CC" w:rsidRPr="00636F71">
        <w:rPr>
          <w:vertAlign w:val="subscript"/>
        </w:rPr>
        <w:t>p</w:t>
      </w:r>
      <w:r w:rsidR="004007CC" w:rsidRPr="00636F71">
        <w:rPr>
          <w:vertAlign w:val="superscript"/>
        </w:rPr>
        <w:t>2</w:t>
      </w:r>
      <w:r w:rsidR="004007CC" w:rsidRPr="00636F71">
        <w:t xml:space="preserve"> </w:t>
      </w:r>
      <w:r w:rsidR="004007CC">
        <w:t>= .056</w:t>
      </w:r>
      <w:r w:rsidRPr="00636F71">
        <w:t xml:space="preserve">. Instead, there was a Confidence Choice by Comparison Type interaction, </w:t>
      </w:r>
      <w:r w:rsidRPr="00636F71">
        <w:rPr>
          <w:i/>
          <w:iCs/>
        </w:rPr>
        <w:t>F</w:t>
      </w:r>
      <w:r w:rsidRPr="00636F71">
        <w:t>(1, 6</w:t>
      </w:r>
      <w:r w:rsidR="00F517B9" w:rsidRPr="00636F71">
        <w:t>5</w:t>
      </w:r>
      <w:r w:rsidRPr="00636F71">
        <w:t xml:space="preserve">) = </w:t>
      </w:r>
      <w:r w:rsidR="00F517B9" w:rsidRPr="00636F71">
        <w:t>4.97</w:t>
      </w:r>
      <w:r w:rsidRPr="00636F71">
        <w:t xml:space="preserve">, </w:t>
      </w:r>
      <w:r w:rsidRPr="00636F71">
        <w:rPr>
          <w:i/>
          <w:iCs/>
        </w:rPr>
        <w:t>p</w:t>
      </w:r>
      <w:r w:rsidRPr="00636F71">
        <w:t xml:space="preserve"> = .02</w:t>
      </w:r>
      <w:r w:rsidR="00F517B9" w:rsidRPr="00636F71">
        <w:t>9</w:t>
      </w:r>
      <w:r w:rsidRPr="00636F71">
        <w:t xml:space="preserve">, </w:t>
      </w:r>
      <w:r w:rsidRPr="00636F71">
        <w:sym w:font="Symbol" w:char="F068"/>
      </w:r>
      <w:r w:rsidRPr="00636F71">
        <w:rPr>
          <w:vertAlign w:val="subscript"/>
        </w:rPr>
        <w:t>p</w:t>
      </w:r>
      <w:r w:rsidRPr="00636F71">
        <w:rPr>
          <w:vertAlign w:val="superscript"/>
        </w:rPr>
        <w:t>2</w:t>
      </w:r>
      <w:r w:rsidRPr="00636F71">
        <w:t xml:space="preserve"> = .0</w:t>
      </w:r>
      <w:r w:rsidR="00F517B9" w:rsidRPr="00636F71">
        <w:t>7</w:t>
      </w:r>
      <w:r w:rsidRPr="00636F71">
        <w:t xml:space="preserve">. Younger children did not appear to compare their confidence across domains, as accuracy did not differ by Confidence Choice on Across-Domain trials, </w:t>
      </w:r>
      <w:r w:rsidR="00F517B9" w:rsidRPr="00636F71">
        <w:t xml:space="preserve">paired </w:t>
      </w:r>
      <w:r w:rsidRPr="00636F71">
        <w:rPr>
          <w:i/>
          <w:iCs/>
        </w:rPr>
        <w:t>t</w:t>
      </w:r>
      <w:r w:rsidRPr="00636F71">
        <w:t>(6</w:t>
      </w:r>
      <w:r w:rsidR="00F517B9" w:rsidRPr="00636F71">
        <w:t>5</w:t>
      </w:r>
      <w:r w:rsidRPr="00636F71">
        <w:t>) = -0.</w:t>
      </w:r>
      <w:r w:rsidR="00F517B9" w:rsidRPr="00636F71">
        <w:t>87</w:t>
      </w:r>
      <w:r w:rsidRPr="00636F71">
        <w:t>,</w:t>
      </w:r>
      <w:r w:rsidR="00F35669" w:rsidRPr="00636F71">
        <w:t xml:space="preserve"> two-tailed,</w:t>
      </w:r>
      <w:r w:rsidRPr="00636F71">
        <w:t xml:space="preserve"> </w:t>
      </w:r>
      <w:r w:rsidRPr="00636F71">
        <w:rPr>
          <w:i/>
          <w:iCs/>
        </w:rPr>
        <w:t>p</w:t>
      </w:r>
      <w:r w:rsidRPr="00636F71">
        <w:t xml:space="preserve"> = .</w:t>
      </w:r>
      <w:r w:rsidR="00F517B9" w:rsidRPr="00636F71">
        <w:t>388</w:t>
      </w:r>
      <w:r w:rsidRPr="00636F71">
        <w:t xml:space="preserve">, </w:t>
      </w:r>
      <w:r w:rsidR="00781BA2" w:rsidRPr="00636F71">
        <w:rPr>
          <w:i/>
          <w:iCs/>
        </w:rPr>
        <w:t>d</w:t>
      </w:r>
      <w:r w:rsidR="00781BA2" w:rsidRPr="00636F71">
        <w:t xml:space="preserve"> = 0.1</w:t>
      </w:r>
      <w:r w:rsidR="00F517B9" w:rsidRPr="00636F71">
        <w:t>4</w:t>
      </w:r>
      <w:r w:rsidR="00781BA2" w:rsidRPr="00636F71">
        <w:t xml:space="preserve">. They </w:t>
      </w:r>
      <w:r w:rsidR="00781BA2" w:rsidRPr="00636F71">
        <w:rPr>
          <w:i/>
          <w:iCs/>
        </w:rPr>
        <w:t>could</w:t>
      </w:r>
      <w:r w:rsidR="00781BA2" w:rsidRPr="00636F71">
        <w:t xml:space="preserve">, however, </w:t>
      </w:r>
      <w:r w:rsidR="00781BA2" w:rsidRPr="00636F71">
        <w:lastRenderedPageBreak/>
        <w:t xml:space="preserve">compare their confidence within domains, as accuracy was higher on Chosen Within-Domain trials than Discarded ones, </w:t>
      </w:r>
      <w:r w:rsidR="00F517B9" w:rsidRPr="00636F71">
        <w:t xml:space="preserve">paired </w:t>
      </w:r>
      <w:r w:rsidR="00781BA2" w:rsidRPr="00636F71">
        <w:rPr>
          <w:i/>
          <w:iCs/>
        </w:rPr>
        <w:t>t</w:t>
      </w:r>
      <w:r w:rsidR="00781BA2" w:rsidRPr="00636F71">
        <w:t>(6</w:t>
      </w:r>
      <w:r w:rsidR="00F517B9" w:rsidRPr="00636F71">
        <w:t>5</w:t>
      </w:r>
      <w:r w:rsidR="00781BA2" w:rsidRPr="00636F71">
        <w:t>) = 2.4</w:t>
      </w:r>
      <w:r w:rsidR="00F517B9" w:rsidRPr="00636F71">
        <w:t>5</w:t>
      </w:r>
      <w:r w:rsidR="00781BA2" w:rsidRPr="00636F71">
        <w:t xml:space="preserve">, </w:t>
      </w:r>
      <w:r w:rsidR="00F35669" w:rsidRPr="00636F71">
        <w:t xml:space="preserve">two-tailed, </w:t>
      </w:r>
      <w:r w:rsidR="00781BA2" w:rsidRPr="00636F71">
        <w:rPr>
          <w:i/>
          <w:iCs/>
        </w:rPr>
        <w:t>p</w:t>
      </w:r>
      <w:r w:rsidR="00781BA2" w:rsidRPr="00636F71">
        <w:t xml:space="preserve"> = .017, </w:t>
      </w:r>
      <w:r w:rsidR="00781BA2" w:rsidRPr="00636F71">
        <w:rPr>
          <w:i/>
          <w:iCs/>
        </w:rPr>
        <w:t>d</w:t>
      </w:r>
      <w:r w:rsidR="00781BA2" w:rsidRPr="00636F71">
        <w:t xml:space="preserve"> = 0.3</w:t>
      </w:r>
      <w:r w:rsidR="00F517B9" w:rsidRPr="00636F71">
        <w:t>3</w:t>
      </w:r>
      <w:r w:rsidR="00781BA2" w:rsidRPr="00636F71">
        <w:t>.</w:t>
      </w:r>
      <w:r w:rsidR="00234125" w:rsidRPr="00636F71">
        <w:t xml:space="preserve"> No models from an analogous Bayesian RM ANOVA outperformed the null model, which had 3</w:t>
      </w:r>
      <w:r w:rsidR="009A3F70" w:rsidRPr="00636F71">
        <w:t>8</w:t>
      </w:r>
      <w:r w:rsidR="00234125" w:rsidRPr="00636F71">
        <w:t xml:space="preserve">% probability. The model including an interaction was </w:t>
      </w:r>
      <w:r w:rsidR="00111D63" w:rsidRPr="00636F71">
        <w:t>1.8</w:t>
      </w:r>
      <w:r w:rsidR="009A3F70" w:rsidRPr="00636F71">
        <w:t>8</w:t>
      </w:r>
      <w:r w:rsidR="00111D63" w:rsidRPr="00636F71">
        <w:t xml:space="preserve"> times less likely, with </w:t>
      </w:r>
      <w:r w:rsidR="009A3F70" w:rsidRPr="00636F71">
        <w:t>20</w:t>
      </w:r>
      <w:r w:rsidR="00111D63" w:rsidRPr="00636F71">
        <w:t>% probability, BF</w:t>
      </w:r>
      <w:r w:rsidR="00111D63" w:rsidRPr="00636F71">
        <w:rPr>
          <w:vertAlign w:val="subscript"/>
        </w:rPr>
        <w:t>10</w:t>
      </w:r>
      <w:r w:rsidR="00111D63" w:rsidRPr="00636F71">
        <w:t xml:space="preserve"> = 0.5</w:t>
      </w:r>
      <w:r w:rsidR="009A3F70" w:rsidRPr="00636F71">
        <w:t>3</w:t>
      </w:r>
      <w:r w:rsidR="00111D63" w:rsidRPr="00636F71">
        <w:t xml:space="preserve">. </w:t>
      </w:r>
      <w:bookmarkStart w:id="15" w:name="_Hlk214374880"/>
      <w:r w:rsidR="00016E2C" w:rsidRPr="00636F71">
        <w:t xml:space="preserve">Due to the </w:t>
      </w:r>
      <w:r w:rsidR="00362505" w:rsidRPr="00636F71">
        <w:t>inconsistency</w:t>
      </w:r>
      <w:r w:rsidR="00016E2C" w:rsidRPr="00636F71">
        <w:t xml:space="preserve"> between frequentist and Bayesian results, we caution against</w:t>
      </w:r>
      <w:r w:rsidR="00111D63" w:rsidRPr="00636F71">
        <w:t xml:space="preserve"> strongly interpreting </w:t>
      </w:r>
      <w:r w:rsidR="00C37653" w:rsidRPr="00636F71">
        <w:t xml:space="preserve">4-5-year-old </w:t>
      </w:r>
      <w:r w:rsidR="00111D63" w:rsidRPr="00636F71">
        <w:t>children’s results</w:t>
      </w:r>
      <w:r w:rsidR="00016E2C" w:rsidRPr="00636F71">
        <w:t xml:space="preserve"> as evidence for or against the domain-general view</w:t>
      </w:r>
      <w:r w:rsidR="00111D63" w:rsidRPr="00636F71">
        <w:t>.</w:t>
      </w:r>
      <w:bookmarkEnd w:id="15"/>
    </w:p>
    <w:p w14:paraId="0E566A7D" w14:textId="77777777" w:rsidR="003F4D41" w:rsidRPr="00636F71" w:rsidRDefault="003F4D41" w:rsidP="005A785C">
      <w:pPr>
        <w:spacing w:line="240" w:lineRule="auto"/>
        <w:ind w:firstLine="720"/>
        <w:jc w:val="both"/>
      </w:pPr>
    </w:p>
    <w:p w14:paraId="67FC2A1A" w14:textId="77777777" w:rsidR="00BD67C5" w:rsidRPr="00636F71" w:rsidRDefault="005F5606" w:rsidP="005A785C">
      <w:pPr>
        <w:pStyle w:val="Heading1"/>
        <w:spacing w:line="240" w:lineRule="auto"/>
        <w:jc w:val="both"/>
      </w:pPr>
      <w:r w:rsidRPr="00636F71">
        <w:t>General Discussion</w:t>
      </w:r>
    </w:p>
    <w:p w14:paraId="2F04B804" w14:textId="781B547D" w:rsidR="00A03C05" w:rsidRPr="00636F71" w:rsidRDefault="00380E01" w:rsidP="005A785C">
      <w:pPr>
        <w:spacing w:line="240" w:lineRule="auto"/>
        <w:jc w:val="both"/>
      </w:pPr>
      <w:r w:rsidRPr="00636F71">
        <w:t>Confidence is a valuable signal about the reliability of our thoughts, but the mechanisms supporting its computation</w:t>
      </w:r>
      <w:r w:rsidR="00A03C05" w:rsidRPr="00636F71">
        <w:t xml:space="preserve"> across disparate cognitive domains remain a puzzle</w:t>
      </w:r>
      <w:r w:rsidR="00452F90" w:rsidRPr="00636F71">
        <w:t>. M</w:t>
      </w:r>
      <w:r w:rsidR="00A03C05" w:rsidRPr="00636F71">
        <w:t>ost of our knowledge on the topic comes from correlational studies with adult participants, which do not enable the investigation of other domain-general signals like commensurability or the possibility of developmental change.</w:t>
      </w:r>
      <w:r w:rsidR="00D31798" w:rsidRPr="00636F71">
        <w:t xml:space="preserve"> Here, we built on emerging evidence that e</w:t>
      </w:r>
      <w:r w:rsidR="00242277" w:rsidRPr="00636F71">
        <w:t xml:space="preserve">stimating confidence is broadly dependent on at least three steps: </w:t>
      </w:r>
      <w:r w:rsidR="0052616D" w:rsidRPr="00636F71">
        <w:t xml:space="preserve">individuals </w:t>
      </w:r>
      <w:r w:rsidR="00242277" w:rsidRPr="00636F71">
        <w:t xml:space="preserve">must identify relevant signals to estimate confidence, they must </w:t>
      </w:r>
      <w:r w:rsidR="00632B21" w:rsidRPr="00636F71">
        <w:t xml:space="preserve">represent </w:t>
      </w:r>
      <w:r w:rsidR="00242277" w:rsidRPr="00636F71">
        <w:t xml:space="preserve">it </w:t>
      </w:r>
      <w:r w:rsidR="00632B21" w:rsidRPr="00636F71">
        <w:t xml:space="preserve">on a scale in some </w:t>
      </w:r>
      <w:r w:rsidR="00242277" w:rsidRPr="00636F71">
        <w:t>internal unit, and then they must convert it to whatever scale the task requires of them</w:t>
      </w:r>
      <w:r w:rsidR="000A088A" w:rsidRPr="00636F71">
        <w:t xml:space="preserve"> </w:t>
      </w:r>
      <w:r w:rsidR="000A088A" w:rsidRPr="00636F71">
        <w:fldChar w:fldCharType="begin"/>
      </w:r>
      <w:r w:rsidR="00636F71">
        <w:instrText xml:space="preserve"> ADDIN ZOTERO_ITEM CSL_CITATION {"citationID":"TiXS6ktb","properties":{"formattedCitation":"\\super 2,7\\nosupersub{}","plainCitation":"2,7","noteIndex":0},"citationItems":[{"id":1834,"uris":["http://zotero.org/users/3750895/items/CZ5D7FYR"],"itemData":{"id":1834,"type":"article-journal","abstract":"Each perceptual decision is commonly attached to a judgment of confidence in the uncertainty of that decision. Confidence is classically defined as the estimate of the posterior probability of the decision to be correct, given the evidence. Here we argue that correctness is neither a valid normative statement of what observers should be doing after their perceptual decision nor a proper descriptive statement of what they actually do. Instead, we propose that perceivers aim at being self-consistent with themselves. We present behavioral evidence obtained in two separate psychophysical experiments that human observers achieve that aim. In one experiment adaptation led to aftereffects, and in the other prior stimulus occurrences were manipulated. We show that confidence judgments perfectly follow changes in perceptual reports and response times, regardless of the nature of the bias. Although observers are able to judge the validity of their percepts, they are oblivious to how biased these percepts are. Focusing on self-consistency rather than correctness leads us to interpret confidence as an estimate of the reliability of one's perceptual decision rather than a distance to an unattainable truth.","container-title":"Journal of Vision","DOI":"10.1167/jov.21.12.8","ISSN":"1534-7362","issue":"12","journalAbbreviation":"Journal of Vision","page":"8","source":"Silverchair","title":"Perceptual confidence judgments reflect self-consistency","volume":"21","author":[{"family":"Caziot","given":"Baptiste"},{"family":"Mamassian","given":"Pascal"}],"issued":{"date-parts":[["2021",11,18]]}}},{"id":298,"uris":["http://zotero.org/users/3750895/items/2IQGUQ8T"],"itemData":{"id":298,"type":"article-journal","abstract":"When facing uncertainty, adaptive behavioral strategies demand that the brain performs probabilistic computations. In this probabilistic framework, the notion of certainty and confidence would appear to be closely related, so much so that it is tempting to conclude that these two concepts are one and the same. We argue that there are computational reasons to distinguish between these two concepts. Specifically, we propose that confidence should be defined as the probability that a decision or a proposition, overt or covert, is correct given the evidence, a critical quantity in complex sequential decisions. We suggest that the term certainty should be reserved to refer to the encoding of all other probability distributions over sensory and cognitive variables. We also discuss strategies for studying the neural codes for confidence and certainty and argue that clear definitions of neural codes are essential to understanding the relative contributions of various cortical areas to decision making.","container-title":"Nature neuroscience","DOI":"10.1038/nn.4240","ISSN":"1097-6256","journalAbbreviation":"Nat Neurosci","note":"PMID: 26906503\nPMCID: PMC5378479","page":"366-374","source":"PubMed Central","title":"Confidence and certainty: distinct probabilistic quantities for different goals","title-short":"Confidence and certainty","volume":"19","author":[{"family":"Pouget","given":"Alexandre"},{"family":"Drugowitsch","given":"Jan"},{"family":"Kepecs","given":"Adam"}],"issued":{"date-parts":[["2016",3]]}}}],"schema":"https://github.com/citation-style-language/schema/raw/master/csl-citation.json"} </w:instrText>
      </w:r>
      <w:r w:rsidR="000A088A" w:rsidRPr="00636F71">
        <w:fldChar w:fldCharType="separate"/>
      </w:r>
      <w:r w:rsidR="00636F71" w:rsidRPr="00636F71">
        <w:rPr>
          <w:vertAlign w:val="superscript"/>
        </w:rPr>
        <w:t>2,7</w:t>
      </w:r>
      <w:r w:rsidR="000A088A" w:rsidRPr="00636F71">
        <w:fldChar w:fldCharType="end"/>
      </w:r>
      <w:r w:rsidR="00242277" w:rsidRPr="00636F71">
        <w:t xml:space="preserve">. </w:t>
      </w:r>
      <w:r w:rsidR="00916CB1" w:rsidRPr="00636F71">
        <w:t>We examine</w:t>
      </w:r>
      <w:r w:rsidR="00CC2EFC">
        <w:t>d</w:t>
      </w:r>
      <w:r w:rsidR="00916CB1" w:rsidRPr="00636F71">
        <w:t xml:space="preserve"> wh</w:t>
      </w:r>
      <w:r w:rsidR="00607F8E" w:rsidRPr="00636F71">
        <w:t>ich</w:t>
      </w:r>
      <w:r w:rsidR="00916CB1" w:rsidRPr="00636F71">
        <w:t xml:space="preserve"> properties of </w:t>
      </w:r>
      <w:r w:rsidR="00F370EE" w:rsidRPr="00636F71">
        <w:t xml:space="preserve">this </w:t>
      </w:r>
      <w:r w:rsidR="00916CB1" w:rsidRPr="00636F71">
        <w:t xml:space="preserve">confidence </w:t>
      </w:r>
      <w:r w:rsidR="00F370EE" w:rsidRPr="00636F71">
        <w:t xml:space="preserve">process </w:t>
      </w:r>
      <w:r w:rsidR="00916CB1" w:rsidRPr="00636F71">
        <w:t>are shared across perceptual and memory decisions in children aged 4-7 and in adults.</w:t>
      </w:r>
      <w:r w:rsidR="003F4D41" w:rsidRPr="00636F71">
        <w:t xml:space="preserve"> </w:t>
      </w:r>
      <w:r w:rsidR="00632B21" w:rsidRPr="00636F71">
        <w:t xml:space="preserve">Broadly, </w:t>
      </w:r>
      <w:r w:rsidR="003B3291" w:rsidRPr="00636F71">
        <w:t>we find</w:t>
      </w:r>
      <w:r w:rsidR="00632B21" w:rsidRPr="00636F71">
        <w:t xml:space="preserve"> distinct patterns for each step in the confidence computation process: adults and children use distinct signals for memory and perception decisions, but place these signals on easily comparable scales, and are subject to similar biases when reporting on their confidence</w:t>
      </w:r>
      <w:r w:rsidR="00C64A63" w:rsidRPr="00636F71">
        <w:t xml:space="preserve">; </w:t>
      </w:r>
      <w:bookmarkStart w:id="16" w:name="_Hlk214374932"/>
      <w:r w:rsidR="00C64A63" w:rsidRPr="00636F71">
        <w:t xml:space="preserve">we </w:t>
      </w:r>
      <w:r w:rsidR="00F61C89" w:rsidRPr="00636F71">
        <w:t xml:space="preserve">also </w:t>
      </w:r>
      <w:r w:rsidR="00C64A63" w:rsidRPr="00636F71">
        <w:t xml:space="preserve">find few developmental differences in </w:t>
      </w:r>
      <w:r w:rsidR="00606A5C" w:rsidRPr="00636F71">
        <w:t>these patterns</w:t>
      </w:r>
      <w:r w:rsidR="00C64A63" w:rsidRPr="00636F71">
        <w:t xml:space="preserve">, at least between the ages of </w:t>
      </w:r>
      <w:r w:rsidR="007A58EA" w:rsidRPr="00636F71">
        <w:t>6</w:t>
      </w:r>
      <w:r w:rsidR="00C64A63" w:rsidRPr="00636F71">
        <w:t xml:space="preserve"> and adulthood.</w:t>
      </w:r>
      <w:bookmarkEnd w:id="16"/>
      <w:r w:rsidR="00632B21" w:rsidRPr="00636F71">
        <w:t xml:space="preserve"> </w:t>
      </w:r>
    </w:p>
    <w:p w14:paraId="581166E4" w14:textId="4F5F78F4" w:rsidR="00D755FA" w:rsidRPr="00636F71" w:rsidRDefault="003F4D41" w:rsidP="005A785C">
      <w:pPr>
        <w:spacing w:line="240" w:lineRule="auto"/>
        <w:jc w:val="both"/>
      </w:pPr>
      <w:r w:rsidRPr="00636F71">
        <w:t xml:space="preserve">In Experiment 1, we found correlated individual differences </w:t>
      </w:r>
      <w:r w:rsidR="00362505" w:rsidRPr="00636F71">
        <w:t xml:space="preserve">for </w:t>
      </w:r>
      <w:r w:rsidRPr="00D35B02">
        <w:t>confidence bias</w:t>
      </w:r>
      <w:r w:rsidRPr="00636F71">
        <w:t xml:space="preserve"> </w:t>
      </w:r>
      <w:r w:rsidR="00362505" w:rsidRPr="00636F71">
        <w:t xml:space="preserve">between </w:t>
      </w:r>
      <w:r w:rsidRPr="00636F71">
        <w:t>perception and memory judgments in both children and adults</w:t>
      </w:r>
      <w:r w:rsidR="00321E9D">
        <w:t>:</w:t>
      </w:r>
      <w:r w:rsidR="00F370EE" w:rsidRPr="00636F71">
        <w:t xml:space="preserve"> </w:t>
      </w:r>
      <w:r w:rsidR="00321E9D">
        <w:t>people</w:t>
      </w:r>
      <w:r w:rsidR="00321E9D" w:rsidRPr="00636F71" w:rsidDel="00321E9D">
        <w:t xml:space="preserve"> who </w:t>
      </w:r>
      <w:r w:rsidR="00321E9D">
        <w:t>were</w:t>
      </w:r>
      <w:r w:rsidR="00321E9D" w:rsidRPr="00636F71" w:rsidDel="00321E9D">
        <w:t xml:space="preserve"> miscalibrated in one domain tend to be similarly miscalibrated in the other domain</w:t>
      </w:r>
      <w:r w:rsidR="00321E9D">
        <w:t>.  This suggests</w:t>
      </w:r>
      <w:r w:rsidR="00321E9D" w:rsidRPr="00636F71">
        <w:t xml:space="preserve"> </w:t>
      </w:r>
      <w:r w:rsidR="00F370EE" w:rsidRPr="00636F71">
        <w:t>that the conversion from internal units to external scales is similar across domains</w:t>
      </w:r>
      <w:r w:rsidRPr="00636F71">
        <w:t xml:space="preserve">. We did not, however, find correlated individual differences in </w:t>
      </w:r>
      <w:r w:rsidR="00637BF8" w:rsidRPr="00636F71">
        <w:t xml:space="preserve">confidence </w:t>
      </w:r>
      <w:r w:rsidRPr="00636F71">
        <w:t xml:space="preserve">sensitivity (meta-d’) or metacognitive </w:t>
      </w:r>
      <w:r w:rsidRPr="00636F71">
        <w:t xml:space="preserve">efficiency (MRatio) in </w:t>
      </w:r>
      <w:r w:rsidR="00837795" w:rsidRPr="00636F71">
        <w:t xml:space="preserve">either </w:t>
      </w:r>
      <w:r w:rsidRPr="00636F71">
        <w:t>children or adults</w:t>
      </w:r>
      <w:r w:rsidR="00F370EE" w:rsidRPr="00636F71">
        <w:t>, suggesting that the signals children and adults use to estimate confidence are distinct for these domains</w:t>
      </w:r>
      <w:r w:rsidRPr="00636F71">
        <w:t xml:space="preserve">. </w:t>
      </w:r>
      <w:r w:rsidR="00EB4CF6" w:rsidRPr="00636F71">
        <w:t xml:space="preserve">For example, perceptual confidence may be based on estimates of inherent noise in the perceptual representations </w:t>
      </w:r>
      <w:r w:rsidR="009C121F" w:rsidRPr="00636F71">
        <w:fldChar w:fldCharType="begin"/>
      </w:r>
      <w:r w:rsidR="00636F71">
        <w:instrText xml:space="preserve"> ADDIN ZOTERO_ITEM CSL_CITATION {"citationID":"hWRNsVQr","properties":{"formattedCitation":"\\super 5,6\\nosupersub{}","plainCitation":"5,6","noteIndex":0},"citationItems":[{"id":167,"uris":["http://zotero.org/users/3750895/items/UAAGP5DG"],"itemData":{"id":167,"type":"article-journal","container-title":"Evolutionary Origins and Early Development of Number Processing","DOI":"10.1016/B978-0-12-420133-0.00012-0","page":"305-333","source":"Google Scholar","title":"The precision and internal confidence of our approximate number thoughts","author":[{"family":"Halberda","given":"J"},{"family":"Odic","given":"Darko"}],"issued":{"date-parts":[["2014"]]}}},{"id":876,"uris":["http://zotero.org/users/3750895/items/MJCTIPME"],"itemData":{"id":876,"type":"article-journal","abstract":"Decisive Monkeys\nDecision-making is a central theme in current research in cognitive neuroscience. Behavioral protocols have provided an entry into explorations of the neural processes that underlie decision-making. Empirical studies have provided support for a diffusion model in which information accumulates over time until a threshold is reached, with noisiness in the inputs related to decision errors. Kiani and Shadlen (p. 759) developed a behavioral task to study choice certainty and identified the corresponding neuronal representations in monkeys. The monkeys were allowed to choose to opt out of an uncertain, higher reward choice in favor of a certain, lower payoff. The same neurons that encoded the information used to make a choice also encoded the extent of certainty, which in humans would be described as the degree of confidence in one's decision.\nThe degree of confidence in a decision provides a graded and probabilistic assessment of expected outcome. Although neural mechanisms of perceptual decisions have been studied extensively in primates, little is known about the mechanisms underlying choice certainty. We have shown that the same neurons that represent formation of a decision encode certainty about the decision. Rhesus monkeys made decisions about the direction of moving random dots, spanning a range of difficulties. They were rewarded for correct decisions. On some trials, after viewing the stimulus, the monkeys could opt out of the direction decision for a small but certain reward. Monkeys exercised this option in a manner that revealed their degree of certainty. Neurons in parietal cortex represented formation of the direction decision and the degree of certainty underlying the decision to opt out.\nNeurons in the primate parietal cortex encode information required to make a decision and also the certainty of that choice.\nNeurons in the primate parietal cortex encode information required to make a decision and also the certainty of that choice.","container-title":"Science","DOI":"10.1126/science.1169405","ISSN":"0036-8075, 1095-9203","language":"en","license":"Copyright © 2009, American Association for the Advancement of Science","note":"PMID: 19423820","page":"759-764","source":"science-sciencemag-org.ezproxy.library.ubc.ca","title":"Representation of confidence associated with a decision by neurons in the parietal cortex","volume":"324","author":[{"family":"Kiani","given":"Roozbeh"},{"family":"Shadlen","given":"Michael N."}],"issued":{"date-parts":[["2009",5,8]]}}}],"schema":"https://github.com/citation-style-language/schema/raw/master/csl-citation.json"} </w:instrText>
      </w:r>
      <w:r w:rsidR="009C121F" w:rsidRPr="00636F71">
        <w:fldChar w:fldCharType="separate"/>
      </w:r>
      <w:r w:rsidR="00636F71" w:rsidRPr="00636F71">
        <w:rPr>
          <w:vertAlign w:val="superscript"/>
        </w:rPr>
        <w:t>5,6</w:t>
      </w:r>
      <w:r w:rsidR="009C121F" w:rsidRPr="00636F71">
        <w:fldChar w:fldCharType="end"/>
      </w:r>
      <w:r w:rsidR="009C121F" w:rsidRPr="00636F71">
        <w:t xml:space="preserve"> </w:t>
      </w:r>
      <w:r w:rsidR="00EB4CF6" w:rsidRPr="00636F71">
        <w:t>while memory confidence may be based on the fluency of recall</w:t>
      </w:r>
      <w:r w:rsidR="009C121F" w:rsidRPr="00636F71">
        <w:t xml:space="preserve"> </w:t>
      </w:r>
      <w:r w:rsidR="009C121F" w:rsidRPr="00636F71">
        <w:fldChar w:fldCharType="begin"/>
      </w:r>
      <w:r w:rsidR="008D3E4C">
        <w:instrText xml:space="preserve"> ADDIN ZOTERO_ITEM CSL_CITATION {"citationID":"HkHfnHpu","properties":{"formattedCitation":"\\super 42,43\\nosupersub{}","plainCitation":"42,43","noteIndex":0},"citationItems":[{"id":2640,"uris":["http://zotero.org/users/3750895/items/7N7FE4L2"],"itemData":{"id":2640,"type":"article-journal","abstract":"We propose that confidence in potential answers to general knowledge questions is based, in part, on the ease with which those answers come to mind. Consistent with this hypothesis, prior exposure to correct and to related but incorrect answers to general knowledge questions increased the speed, frequency, and confidence with which subjects gave those answers on a subsequent test of general knowledge. Similar effects were obtained even when subjects were warned that the list included incorrect answers (Experiment 2). The results of Experiment 3 indicated that the effects do not rely on deliberate search of memory for the list: Subjects who read a list with correct answers to half of the questions on a subsequent test gained full benefit of exposure to correct answers relative to subjects who read a list with correct answers to all of the questions, yet showed no cost on questions for which answers were not in the list relative to subjects who read a list of unrelated fillers. Finally, Experiments 4a and 4b demonstrated that prior exposure to incorrect answers can give rise to illusions of knowing even when subjects know that all of the answers on the study list were incorrect. In those studies, subjects were correctly informed that all of the answers on the list were incorrect, yet those who had studied the list with divided attention nonetheless tended to give the studied incorrect answers as responses to the knowledge questions. We discuss these findings in terms of Jacoby, Kelley. and Dywans (1989) attributional approach to subjective experience.","container-title":"Journal of Memory and Language","DOI":"10.1006/jmla.1993.1001","ISSN":"0749-596X","issue":"1","journalAbbreviation":"Journal of Memory and Language","page":"1-24","source":"ScienceDirect","title":"Remembering Mistaken for Knowing: Ease of Retrieval as a Basis for Confidence in Answers to General Knowledge Questions","title-short":"Remembering Mistaken for Knowing","volume":"32","author":[{"family":"Kelley","given":"Colleen M ."},{"family":"Lindsay","given":"D. Stephen"}],"issued":{"date-parts":[["1993",2,1]]}}},{"id":865,"uris":["http://zotero.org/users/3750895/items/DQW2V8UW"],"itemData":{"id":865,"type":"article-journal","container-title":"Journal of Experimental Psychology: Learning, Memory, and Cognition","DOI":"10.1037/0278-7393.27.1.34","page":"34-53","source":"Google Scholar","title":"The combined contributions of the cue-familiarity and accessibility heuristics to feelings of knowing.","volume":"27","author":[{"family":"Koriat","given":"Asher"},{"family":"Levy-Sadot","given":"Ravit"}],"issued":{"date-parts":[["2001"]]}}}],"schema":"https://github.com/citation-style-language/schema/raw/master/csl-citation.json"} </w:instrText>
      </w:r>
      <w:r w:rsidR="009C121F" w:rsidRPr="00636F71">
        <w:fldChar w:fldCharType="separate"/>
      </w:r>
      <w:r w:rsidR="008D3E4C" w:rsidRPr="008D3E4C">
        <w:rPr>
          <w:vertAlign w:val="superscript"/>
        </w:rPr>
        <w:t>42,43</w:t>
      </w:r>
      <w:r w:rsidR="009C121F" w:rsidRPr="00636F71">
        <w:fldChar w:fldCharType="end"/>
      </w:r>
      <w:r w:rsidR="00EB4CF6" w:rsidRPr="00636F71">
        <w:t xml:space="preserve">. </w:t>
      </w:r>
      <w:bookmarkStart w:id="17" w:name="_Hlk214374970"/>
      <w:r w:rsidR="007A58EA" w:rsidRPr="00636F71">
        <w:t>In</w:t>
      </w:r>
      <w:r w:rsidR="00F370EE" w:rsidRPr="00636F71">
        <w:t xml:space="preserve"> </w:t>
      </w:r>
      <w:r w:rsidR="00EE21E3" w:rsidRPr="00636F71">
        <w:t xml:space="preserve">Experiment 2, we found that </w:t>
      </w:r>
      <w:r w:rsidR="00F370EE" w:rsidRPr="00636F71">
        <w:t>children</w:t>
      </w:r>
      <w:r w:rsidR="00EE21E3" w:rsidRPr="00636F71">
        <w:t xml:space="preserve"> </w:t>
      </w:r>
      <w:r w:rsidR="00B63DD1" w:rsidRPr="00636F71">
        <w:t xml:space="preserve">aged 6 </w:t>
      </w:r>
      <w:r w:rsidR="00837795" w:rsidRPr="00636F71">
        <w:t xml:space="preserve">and 7 </w:t>
      </w:r>
      <w:r w:rsidR="000A088A" w:rsidRPr="00636F71">
        <w:t>y</w:t>
      </w:r>
      <w:r w:rsidR="00837795" w:rsidRPr="00636F71">
        <w:t>ears</w:t>
      </w:r>
      <w:r w:rsidR="00B63DD1" w:rsidRPr="00636F71">
        <w:t xml:space="preserve"> </w:t>
      </w:r>
      <w:r w:rsidR="00EE21E3" w:rsidRPr="00636F71">
        <w:t>and adults could compare their confidence across memory and perceptual decisions</w:t>
      </w:r>
      <w:r w:rsidR="00F370EE" w:rsidRPr="00636F71">
        <w:t xml:space="preserve"> without </w:t>
      </w:r>
      <w:r w:rsidR="00101718" w:rsidRPr="00636F71">
        <w:t xml:space="preserve">a </w:t>
      </w:r>
      <w:r w:rsidR="00F370EE" w:rsidRPr="00636F71">
        <w:t>cost</w:t>
      </w:r>
      <w:r w:rsidR="00101718" w:rsidRPr="00636F71">
        <w:t xml:space="preserve"> to accuracy</w:t>
      </w:r>
      <w:bookmarkEnd w:id="17"/>
      <w:r w:rsidR="00EE21E3" w:rsidRPr="00636F71">
        <w:t>, a sign of commensurability</w:t>
      </w:r>
      <w:r w:rsidR="00F370EE" w:rsidRPr="00636F71">
        <w:t xml:space="preserve"> and shared internal units</w:t>
      </w:r>
      <w:r w:rsidR="00EE21E3" w:rsidRPr="00636F71">
        <w:t xml:space="preserve">. </w:t>
      </w:r>
      <w:bookmarkStart w:id="18" w:name="_Hlk214460877"/>
      <w:bookmarkStart w:id="19" w:name="_Hlk214460828"/>
      <w:r w:rsidR="009B412D" w:rsidRPr="00636F71">
        <w:t xml:space="preserve">Our findings are consistent with the possibility that, from at least age 6 onward, </w:t>
      </w:r>
      <w:r w:rsidR="00D755FA" w:rsidRPr="00636F71">
        <w:t xml:space="preserve">signals for perceptual and memory confidence </w:t>
      </w:r>
      <w:r w:rsidR="009B412D" w:rsidRPr="00636F71">
        <w:t xml:space="preserve">remain </w:t>
      </w:r>
      <w:r w:rsidR="00D755FA" w:rsidRPr="00636F71">
        <w:t xml:space="preserve">distinct and independent, but </w:t>
      </w:r>
      <w:r w:rsidR="009B412D" w:rsidRPr="00636F71">
        <w:t>can be</w:t>
      </w:r>
      <w:r w:rsidR="00D755FA" w:rsidRPr="00636F71">
        <w:t xml:space="preserve"> convert</w:t>
      </w:r>
      <w:r w:rsidR="009B412D" w:rsidRPr="00636F71">
        <w:t>ed</w:t>
      </w:r>
      <w:r w:rsidR="00D755FA" w:rsidRPr="00636F71">
        <w:t xml:space="preserve"> into a common abstract scale that permits for easy comparison across domains.</w:t>
      </w:r>
      <w:bookmarkEnd w:id="18"/>
      <w:r w:rsidR="00D755FA" w:rsidRPr="00636F71">
        <w:t xml:space="preserve"> </w:t>
      </w:r>
      <w:bookmarkEnd w:id="19"/>
      <w:r w:rsidR="00D755FA" w:rsidRPr="00636F71">
        <w:t>This scale is then externalized given task demands, and biases in this process are similar for memory and perception across development.</w:t>
      </w:r>
    </w:p>
    <w:p w14:paraId="742C954D" w14:textId="1FC23B4D" w:rsidR="007A58EA" w:rsidRPr="00636F71" w:rsidRDefault="007A58EA" w:rsidP="005A785C">
      <w:pPr>
        <w:spacing w:line="240" w:lineRule="auto"/>
        <w:jc w:val="both"/>
      </w:pPr>
      <w:bookmarkStart w:id="20" w:name="_Hlk214465121"/>
      <w:r w:rsidRPr="00636F71">
        <w:t xml:space="preserve">Interestingly, we </w:t>
      </w:r>
      <w:r w:rsidR="00D36BB7" w:rsidRPr="00636F71">
        <w:t xml:space="preserve">did not conclusively find </w:t>
      </w:r>
      <w:r w:rsidRPr="00636F71">
        <w:t xml:space="preserve">that children at 4-5-years of age </w:t>
      </w:r>
      <w:r w:rsidR="00D36BB7" w:rsidRPr="00636F71">
        <w:t>could</w:t>
      </w:r>
      <w:r w:rsidRPr="00636F71">
        <w:t xml:space="preserve"> flexibly compare their confidence across domains. </w:t>
      </w:r>
      <w:bookmarkEnd w:id="20"/>
      <w:r w:rsidRPr="00636F71">
        <w:t xml:space="preserve">One possibility is that the common abstract scale of confidence </w:t>
      </w:r>
      <w:r w:rsidRPr="00636F71">
        <w:rPr>
          <w:i/>
          <w:iCs/>
        </w:rPr>
        <w:t>emerges</w:t>
      </w:r>
      <w:r w:rsidRPr="00636F71">
        <w:t xml:space="preserve"> in early childhood, as children learn how to combine signals for each domain. The ability to convert the domain-specific certainty signal into a standardized metric might emerge or improve as children develop. </w:t>
      </w:r>
      <w:r w:rsidR="0021400B" w:rsidRPr="00636F71">
        <w:t xml:space="preserve">An </w:t>
      </w:r>
      <w:r w:rsidRPr="00636F71">
        <w:t xml:space="preserve">alternative possibility is that young children have a strong bias to believe that one of the domains is superior to the other, persistently choosing it in the cross-domain condition, lowering their accuracy. Consistent with this, we find that the majority of mistakes young children made in the cross-domain condition stem from them choosing memory decisions even when they were incorrect. </w:t>
      </w:r>
      <w:bookmarkStart w:id="21" w:name="_Hlk214440915"/>
      <w:r w:rsidR="002D78A4" w:rsidRPr="00636F71">
        <w:t xml:space="preserve">Another alternative </w:t>
      </w:r>
      <w:r w:rsidR="00362505" w:rsidRPr="00636F71">
        <w:t xml:space="preserve">possibility </w:t>
      </w:r>
      <w:r w:rsidR="002D78A4" w:rsidRPr="00636F71">
        <w:t xml:space="preserve">is that these younger children did not have sufficient metacognitive abilities to demonstrate competency on this task. Five-year-olds exhibited reliable metacognitive sensitivity in Experiment 1, and the frequentist analyses show that 4-5-year-olds demonstrated an ability to accurately compare their confidence </w:t>
      </w:r>
      <w:r w:rsidR="002D78A4" w:rsidRPr="00D35B02">
        <w:t>within</w:t>
      </w:r>
      <w:r w:rsidR="002D78A4" w:rsidRPr="00636F71">
        <w:t xml:space="preserve"> a single domain in Experiment 2, but the Bayesian analyses do not confirm this pattern. </w:t>
      </w:r>
      <w:bookmarkStart w:id="22" w:name="_Hlk215068543"/>
      <w:r w:rsidR="00F60C88" w:rsidRPr="00636F71">
        <w:t xml:space="preserve">Finally, although Experiment 2 did not require any conversion to a response, participants might have done so implicitly before comparing, and therefore any lack </w:t>
      </w:r>
      <w:r w:rsidR="00F60C88" w:rsidRPr="00636F71">
        <w:lastRenderedPageBreak/>
        <w:t xml:space="preserve">of commensurability might be due to 4-year-olds </w:t>
      </w:r>
      <w:r w:rsidR="00362505" w:rsidRPr="00636F71">
        <w:t xml:space="preserve">experiencing difficulty with </w:t>
      </w:r>
      <w:r w:rsidR="00F60C88" w:rsidRPr="00636F71">
        <w:t xml:space="preserve">this process. </w:t>
      </w:r>
      <w:bookmarkEnd w:id="22"/>
      <w:r w:rsidRPr="00636F71">
        <w:t xml:space="preserve">The current task </w:t>
      </w:r>
      <w:r w:rsidR="006F3F50" w:rsidRPr="00636F71">
        <w:t xml:space="preserve">therefore </w:t>
      </w:r>
      <w:r w:rsidRPr="00636F71">
        <w:t>cannot adjudicate between these possibilities, and we leave it as an avenue for future research.</w:t>
      </w:r>
      <w:bookmarkEnd w:id="21"/>
      <w:r w:rsidRPr="00636F71">
        <w:t xml:space="preserve"> </w:t>
      </w:r>
    </w:p>
    <w:p w14:paraId="23D628A7" w14:textId="5B06BA76" w:rsidR="00B63DD1" w:rsidRPr="00636F71" w:rsidRDefault="00EE21E3" w:rsidP="005A785C">
      <w:pPr>
        <w:spacing w:line="240" w:lineRule="auto"/>
        <w:jc w:val="both"/>
      </w:pPr>
      <w:r w:rsidRPr="00636F71">
        <w:t>The correlational patterns in Experiment 1</w:t>
      </w:r>
      <w:r w:rsidR="003F4D41" w:rsidRPr="00636F71">
        <w:t xml:space="preserve"> are largely consistent with other findings </w:t>
      </w:r>
      <w:r w:rsidRPr="00636F71">
        <w:t>in the literature</w:t>
      </w:r>
      <w:r w:rsidR="007227FA" w:rsidRPr="00636F71">
        <w:t xml:space="preserve">, </w:t>
      </w:r>
      <w:r w:rsidR="00607F8E" w:rsidRPr="00636F71">
        <w:t>and</w:t>
      </w:r>
      <w:r w:rsidR="007227FA" w:rsidRPr="00636F71">
        <w:t xml:space="preserve"> we extend them developmentally</w:t>
      </w:r>
      <w:r w:rsidRPr="00636F71">
        <w:t>. M</w:t>
      </w:r>
      <w:r w:rsidR="003F4D41" w:rsidRPr="00636F71">
        <w:t>etacogniti</w:t>
      </w:r>
      <w:r w:rsidRPr="00636F71">
        <w:t>ve sensitivity and efficiency</w:t>
      </w:r>
      <w:r w:rsidR="003F4D41" w:rsidRPr="00636F71">
        <w:t xml:space="preserve"> in episodic memory and visual perception have</w:t>
      </w:r>
      <w:r w:rsidR="005E1013" w:rsidRPr="00636F71">
        <w:t xml:space="preserve"> previously been shown to have</w:t>
      </w:r>
      <w:r w:rsidR="003F4D41" w:rsidRPr="00636F71">
        <w:t xml:space="preserve"> the weakest correlations in adults </w:t>
      </w:r>
      <w:r w:rsidR="00752E3F" w:rsidRPr="00636F71">
        <w:fldChar w:fldCharType="begin"/>
      </w:r>
      <w:r w:rsidR="008D3E4C">
        <w:instrText xml:space="preserve"> ADDIN ZOTERO_ITEM CSL_CITATION {"citationID":"ZvKe0aWh","properties":{"formattedCitation":"\\super 17\\nosupersub{}","plainCitation":"17","noteIndex":0},"citationItems":[{"id":83,"uris":["http://zotero.org/users/3750895/items/LZZDTY3M"],"itemData":{"id":83,"type":"article-journal","abstract":"Is metacognition a general resource shared across domains? Previous research has documented consistent biases in judgments across tasks. In contrast, there is debate regarding the domain generality or the domain specificity of the ability to discriminate between correct and incorrect answers (metacognitive sensitivity) because most previous work has documented nonsignificant correlations across domains. However, such null findings may be due to low statistical power and differences in task structure or performance, thereby masking a latent domain generality in metacognition. We examined across-domain correlations in confidence level and sensitivity in a large sample (N = 181). Participants performed 4 2-alternative forced-choice tasks (episodic memory, semantic memory, executive function, and visual perception) with trial-by-trial confidence judgments. We found significant correlations in average confidence level across tasks. By applying a hierarchical Bayesian model to estimate cross-task covariance, we found five out 6 cross-task correlations in metacognitive efficiency (meta-d'/d') were significant, even for pairs of tasks in which first-order performance was not correlated. This suggests that at least some components of metacognitive efficiency in retrospective confidence are domain general. (PsycINFO Database Record (c) 2020 APA, all rights reserved).","container-title":"Journal of Experimental Psychology: General","DOI":"10.1037/xge0000746","ISSN":"1939-2222","journalAbbreviation":"J Exp Psychol Gen","language":"eng","note":"PMID: 32191079","page":"1788-1799","source":"PubMed","title":"Is there a G factor for metacognition? Correlations in retrospective metacognitive sensitivity across tasks","title-short":"Is there a G factor for metacognition?","volume":"149","author":[{"family":"Mazancieux","given":"Audrey"},{"family":"Fleming","given":"Stephen M."},{"family":"Souchay","given":"Céline"},{"family":"Moulin","given":"Chris J. A."}],"issued":{"date-parts":[["2020",3,19]]}}}],"schema":"https://github.com/citation-style-language/schema/raw/master/csl-citation.json"} </w:instrText>
      </w:r>
      <w:r w:rsidR="00752E3F" w:rsidRPr="00636F71">
        <w:fldChar w:fldCharType="separate"/>
      </w:r>
      <w:r w:rsidR="002137B9" w:rsidRPr="00636F71">
        <w:rPr>
          <w:vertAlign w:val="superscript"/>
        </w:rPr>
        <w:t>17</w:t>
      </w:r>
      <w:r w:rsidR="00752E3F" w:rsidRPr="00636F71">
        <w:fldChar w:fldCharType="end"/>
      </w:r>
      <w:r w:rsidR="00752E3F" w:rsidRPr="00636F71">
        <w:t>,</w:t>
      </w:r>
      <w:r w:rsidRPr="00636F71">
        <w:t xml:space="preserve"> but metacognitive bias is usually correlated across these domains</w:t>
      </w:r>
      <w:r w:rsidR="005E1013" w:rsidRPr="00636F71">
        <w:t xml:space="preserve"> </w:t>
      </w:r>
      <w:r w:rsidR="00752E3F" w:rsidRPr="00636F71">
        <w:fldChar w:fldCharType="begin"/>
      </w:r>
      <w:r w:rsidR="008D3E4C">
        <w:instrText xml:space="preserve"> ADDIN ZOTERO_ITEM CSL_CITATION {"citationID":"rGu0oBOm","properties":{"formattedCitation":"\\super 44,45\\nosupersub{}","plainCitation":"44,45","noteIndex":0},"citationItems":[{"id":440,"uris":["http://zotero.org/users/3750895/items/XGM7X8WB"],"itemData":{"id":440,"type":"article-journal","container-title":"Cognition","DOI":"10.1016/j.cognition.2015.10.006","ISSN":"0010-0277","language":"en","note":"publisher: Elsevier","page":"377-386","source":"www-sciencedirect-com.ezproxy.library.ubc.ca","title":"Individual consistency in the accuracy and distribution of confidence judgments","volume":"146","author":[{"family":"Ais","given":"Joaquín"},{"family":"Zylberberg","given":"Ariel"},{"family":"Barttfeld","given":"Pablo"},{"family":"Sigman","given":"Mariano"}],"issued":{"date-parts":[["2016",1,1]]}}},{"id":862,"uris":["http://zotero.org/users/3750895/items/U9BNM5P2"],"itemData":{"id":862,"type":"article-journal","abstract":"An important yet unresolved question is whether or not metacognition consists of domain-general or domain-specific mechanisms. While most studies on this topic suggest a dissociation between metacognitive abilities at the neural level, there are inconsistent reports at the behavioral level. Specifically, while McCurdy et al. (2013) found a positive correlation between metacognitive efficiency for visual perception and memory, such correlation was not observed in Baird et al. (2013). One possible explanation for this discrepancy is that the former included two-alternative-forced choice (2AFC) judgments in both their visual and memory tasks, whereas the latter used 2AFC for one task and yes/no (YN) judgments for the other. To test the effect of task on cross-domain association in metacognitive efficiency, we conducted two online experiments to mirror McCurdy et al. (2013) and Baird et al. (2013) with considerable statistical power (n = 100), and replicated the main findings of both studies. The results suggest that the use of task could affect cross-domain association in metacognitive efficiency. In the third experiment with the same sample size, we used YN judgments for both tasks and did not find a significant cross-domain correlation in metacognitive efficiency. This suggests that the cross-domain correlation found in McCurdy et al. (2013) was not simply due to the same task being used for both domains, and the absence of cross-domain correlation in Baird et al. (2013) might be due to the use of YN judgments. Our results highlight the importance of avoiding confusion between 2AFC and YN judgments in behavioral tasks for metacognitive research, which is a common problem in many behavioral studies. (PsycINFO Database Record (c) 2019 APA, all rights reserved)","container-title":"Frontiers in Psychology","DOI":"10.3389/fpsyg.2018.02464","ISSN":"1664-1078(Electronic)","note":"publisher-place: Switzerland\npublisher: Frontiers Media S.A.","page":"2464","source":"APA PsycNET","title":"Cross-domain association in metacognitive efficiency depends on first-order task types","volume":"9","author":[{"family":"Lee","given":"Alan L. F."},{"family":"Ruby","given":"Eugene"},{"family":"Giles","given":"Nathan"},{"family":"Lau","given":"Hakwan"}],"issued":{"date-parts":[["2018"]]}}}],"schema":"https://github.com/citation-style-language/schema/raw/master/csl-citation.json"} </w:instrText>
      </w:r>
      <w:r w:rsidR="00752E3F" w:rsidRPr="00636F71">
        <w:fldChar w:fldCharType="separate"/>
      </w:r>
      <w:r w:rsidR="008D3E4C" w:rsidRPr="008D3E4C">
        <w:rPr>
          <w:vertAlign w:val="superscript"/>
        </w:rPr>
        <w:t>44,45</w:t>
      </w:r>
      <w:r w:rsidR="00752E3F" w:rsidRPr="00636F71">
        <w:fldChar w:fldCharType="end"/>
      </w:r>
      <w:r w:rsidR="00752E3F" w:rsidRPr="00636F71">
        <w:t>.</w:t>
      </w:r>
      <w:r w:rsidR="003F4D41" w:rsidRPr="00636F71">
        <w:t xml:space="preserve"> </w:t>
      </w:r>
      <w:r w:rsidR="00F339E9" w:rsidRPr="00636F71">
        <w:t>Similarly,</w:t>
      </w:r>
      <w:r w:rsidR="002B5955" w:rsidRPr="00636F71">
        <w:t xml:space="preserve"> m</w:t>
      </w:r>
      <w:r w:rsidRPr="00636F71">
        <w:t>ost</w:t>
      </w:r>
      <w:r w:rsidR="003F4D41" w:rsidRPr="00636F71">
        <w:t xml:space="preserve"> metacognitive domains do not correlate in childhood</w:t>
      </w:r>
      <w:r w:rsidR="00752E3F" w:rsidRPr="00636F71">
        <w:t xml:space="preserve"> </w:t>
      </w:r>
      <w:r w:rsidR="00752E3F" w:rsidRPr="00636F71">
        <w:fldChar w:fldCharType="begin"/>
      </w:r>
      <w:r w:rsidR="00636F71" w:rsidRPr="00636F71">
        <w:instrText xml:space="preserve"> ADDIN ZOTERO_ITEM CSL_CITATION {"citationID":"zZht8yPi","properties":{"formattedCitation":"\\super 34,36\\nosupersub{}","plainCitation":"34,36","noteIndex":0},"citationItems":[{"id":530,"uris":["http://zotero.org/users/3750895/items/GIJN5IKP"],"itemData":{"id":530,"type":"article-journal","abstract":"We examined the developmental course of metacognition concurrently in arithmetic problem solving and in episodic memory. In Experiment 1, children aged between 8 and 13 were asked to judge the ease with which they would select the better strategy on a given item before actually selecting and executing it. In Experiments 2 and 3, children had to judge their level of confidence in a strategy once selected. Results of these experiments indicated that children are able to accurately judge whether they select the better strategy on a given item in both the arithmetic and the memory domains, and that this ability improves with age. Using a comprehensive set of metacognitive measures, our data support the hypothesis that metacognition is first domain-specific and then generalizes across domains as children mature. Implications of these findings to further our understanding of age-related changes in metacognition and its involvement in strategy selection are discussed.","container-title":"Cognitive Development","DOI":"10.1016/j.cogdev.2018.08.002","ISSN":"0885-2014","journalAbbreviation":"Cognitive Development","page":"62-81","source":"ScienceDirect","title":"From domain-specific to domain-general? The developmental path of metacognition for strategy selection","title-short":"From domain-specific to domain-general?","volume":"48","author":[{"family":"Geurten","given":"Marie"},{"family":"Meulemans","given":"Thierry"},{"family":"Lemaire","given":"Patrick"}],"issued":{"date-parts":[["2018",10,1]]}}},{"id":47,"uris":["http://zotero.org/users/3750895/items/K2VVJRZ7"],"itemData":{"id":47,"type":"article-journal","container-title":"Psychological science","DOI":"10.1177/0956797614538458","page":"1712–1721","source":"Google Scholar","title":"Young children bet on their numerical skills metacognition in the numerical domain","volume":"25","author":[{"family":"Vo","given":"Vy A."},{"family":"Li","given":"Rosa"},{"family":"Kornell","given":"Nate"},{"family":"Pouget","given":"Alexandre"},{"family":"Cantlon","given":"Jessica F."}],"issued":{"date-parts":[["2014"]]}}}],"schema":"https://github.com/citation-style-language/schema/raw/master/csl-citation.json"} </w:instrText>
      </w:r>
      <w:r w:rsidR="00752E3F" w:rsidRPr="00636F71">
        <w:fldChar w:fldCharType="separate"/>
      </w:r>
      <w:r w:rsidR="00636F71" w:rsidRPr="00636F71">
        <w:rPr>
          <w:vertAlign w:val="superscript"/>
        </w:rPr>
        <w:t>34,36</w:t>
      </w:r>
      <w:r w:rsidR="00752E3F" w:rsidRPr="00636F71">
        <w:fldChar w:fldCharType="end"/>
      </w:r>
      <w:r w:rsidRPr="00636F71">
        <w:t>, and our findings extend this pattern to visual perception and episodic memory</w:t>
      </w:r>
      <w:r w:rsidR="003F4D41" w:rsidRPr="00636F71">
        <w:t>.</w:t>
      </w:r>
      <w:r w:rsidR="00C7119C" w:rsidRPr="00636F71">
        <w:t xml:space="preserve"> </w:t>
      </w:r>
      <w:r w:rsidR="00F339E9" w:rsidRPr="00636F71">
        <w:t>Because metacognitive sensitivity is a measure of how well observers attend to the inherent uncertainty of their representations, the lack of correlation suggests that children and adults do not u</w:t>
      </w:r>
      <w:r w:rsidR="00B63DD1" w:rsidRPr="00636F71">
        <w:t>se</w:t>
      </w:r>
      <w:r w:rsidR="00F339E9" w:rsidRPr="00636F71">
        <w:t xml:space="preserve"> or attend to uncertainty for memory </w:t>
      </w:r>
      <w:r w:rsidR="00B63DD1" w:rsidRPr="00636F71">
        <w:t>and</w:t>
      </w:r>
      <w:r w:rsidR="00F339E9" w:rsidRPr="00636F71">
        <w:t xml:space="preserve"> perception</w:t>
      </w:r>
      <w:r w:rsidR="00B63DD1" w:rsidRPr="00636F71">
        <w:t xml:space="preserve"> </w:t>
      </w:r>
      <w:r w:rsidR="00837795" w:rsidRPr="00636F71">
        <w:t>in the same way</w:t>
      </w:r>
      <w:r w:rsidR="00F339E9" w:rsidRPr="00636F71">
        <w:t xml:space="preserve">. </w:t>
      </w:r>
      <w:r w:rsidR="00B63DD1" w:rsidRPr="00636F71">
        <w:t xml:space="preserve">An observer skilled at generating perceptual confidence from sensory noise may not be similarly skilled at generating memory confidence from </w:t>
      </w:r>
      <w:r w:rsidR="009C121F" w:rsidRPr="00636F71">
        <w:t>fluency</w:t>
      </w:r>
      <w:r w:rsidR="00B63DD1" w:rsidRPr="00636F71">
        <w:t>. Relatedly</w:t>
      </w:r>
      <w:r w:rsidR="00F339E9" w:rsidRPr="00636F71">
        <w:t xml:space="preserve">, children discover the informativeness of distinct inputs for confidence judgments at different ages </w:t>
      </w:r>
      <w:r w:rsidR="00F2071D" w:rsidRPr="00636F71">
        <w:fldChar w:fldCharType="begin"/>
      </w:r>
      <w:r w:rsidR="00636F71" w:rsidRPr="00636F71">
        <w:instrText xml:space="preserve"> ADDIN ZOTERO_ITEM CSL_CITATION {"citationID":"t9SZUT3h","properties":{"formattedCitation":"\\super 46\\nosupersub{}","plainCitation":"46","noteIndex":0},"citationItems":[{"id":2348,"uris":["http://zotero.org/users/3750895/items/MEFYM8PY"],"itemData":{"id":2348,"type":"article-journal","abstract":"Although the literature consistently documents strong improvements in metacognitive skills over the elementary school years, relatively little is known about the mechanisms fueling these developments. One factor that is being discussed in the literature and targeted in the present approach is cue utilization. Cue utilization quantifies the degree to which an individual uses mnemonic experiences during task mastery to inform monitoring processes. In the present study, retrieval fluency as a valid and ubiquitous cue during recognition was assessed by recording children’s choice latencies in a recognition test and by relating these to confidence ratings. A sample of second graders and fourth graders was assessed 3 times over one year in terms of their recognition performance, the time needed to select an alternative, and their monitoring accuracy. Results revealed age differences in monitoring accuracy, cue utilization, and cue validity. Moreover, while monitoring accuracy increased over time in both age groups, cue utilization increased only in the younger children. Analyses were completed by an individual differences approach showing that cue utilization is a factor driving recognition improvements over time, underlining the importance of metacognitive experiences for development.","container-title":"Developmental Psychology","DOI":"10.1037/dev0000776","ISSN":"1939-0599, 0012-1649","issue":"10","journalAbbreviation":"Developmental Psychology","language":"en","license":"http://www.apa.org/pubs/journals/resources/open-access.aspx","page":"2077-2089","source":"DOI.org (Crossref)","title":"The role of children’s metacognitive experiences for cue utilization and monitoring accuracy: A longitudinal study.","title-short":"The role of children’s metacognitive experiences for cue utilization and monitoring accuracy","volume":"55","author":[{"family":"Roebers","given":"Claudia M."},{"family":"Mayer","given":"Boris"},{"family":"Steiner","given":"Martina"},{"family":"Bayard","given":"Natalie S."},{"family":"Van Loon","given":"Mariëtte H."}],"issued":{"date-parts":[["2019",10]]}}}],"schema":"https://github.com/citation-style-language/schema/raw/master/csl-citation.json"} </w:instrText>
      </w:r>
      <w:r w:rsidR="00F2071D" w:rsidRPr="00636F71">
        <w:fldChar w:fldCharType="separate"/>
      </w:r>
      <w:r w:rsidR="00636F71" w:rsidRPr="00636F71">
        <w:rPr>
          <w:vertAlign w:val="superscript"/>
        </w:rPr>
        <w:t>46</w:t>
      </w:r>
      <w:r w:rsidR="00F2071D" w:rsidRPr="00636F71">
        <w:fldChar w:fldCharType="end"/>
      </w:r>
      <w:r w:rsidR="00F339E9" w:rsidRPr="00636F71">
        <w:t xml:space="preserve">. </w:t>
      </w:r>
      <w:r w:rsidR="00B63DD1" w:rsidRPr="00636F71">
        <w:t>Domain-specificity of confidence judgments in childhood might result from children relying on a limited number of [domain-specific] inputs, but domain-generality could emerge as they uncover new [domain-general] inputs as they develop.</w:t>
      </w:r>
    </w:p>
    <w:p w14:paraId="683552E7" w14:textId="36824463" w:rsidR="00716BD4" w:rsidRPr="00636F71" w:rsidRDefault="00F339E9" w:rsidP="005A785C">
      <w:pPr>
        <w:spacing w:line="240" w:lineRule="auto"/>
        <w:jc w:val="both"/>
      </w:pPr>
      <w:r w:rsidRPr="00636F71">
        <w:t xml:space="preserve">On the flip side, we find that metacognitive bias is strongly correlated across ages and domains. </w:t>
      </w:r>
      <w:bookmarkStart w:id="23" w:name="_Hlk213854293"/>
      <w:r w:rsidRPr="00636F71">
        <w:t>Metacognitive bias is importantly separable from sensitivity: one can have sharp access to the amount of sensory noise, but still consistently (mis)believe that their confidence does</w:t>
      </w:r>
      <w:r w:rsidR="00362505" w:rsidRPr="00636F71">
        <w:t xml:space="preserve"> </w:t>
      </w:r>
      <w:r w:rsidRPr="00636F71">
        <w:t>n</w:t>
      </w:r>
      <w:r w:rsidR="00362505" w:rsidRPr="00636F71">
        <w:t>ot</w:t>
      </w:r>
      <w:r w:rsidRPr="00636F71">
        <w:t xml:space="preserve"> qualify as very high</w:t>
      </w:r>
      <w:r w:rsidR="00656EC5" w:rsidRPr="00636F71">
        <w:t xml:space="preserve"> because of stable factors like self-efficacy</w:t>
      </w:r>
      <w:r w:rsidR="00491D80" w:rsidRPr="00636F71">
        <w:t xml:space="preserve"> </w:t>
      </w:r>
      <w:bookmarkEnd w:id="23"/>
      <w:r w:rsidR="00491D80" w:rsidRPr="00636F71">
        <w:fldChar w:fldCharType="begin"/>
      </w:r>
      <w:r w:rsidR="00636F71" w:rsidRPr="00636F71">
        <w:instrText xml:space="preserve"> ADDIN ZOTERO_ITEM CSL_CITATION {"citationID":"xxVs9RQG","properties":{"formattedCitation":"\\super 3,47\\nosupersub{}","plainCitation":"3,47","noteIndex":0},"citationItems":[{"id":902,"uris":["http://zotero.org/users/3750895/items/A9C42QRK"],"itemData":{"id":902,"type":"article-journal","abstract":"The ability to recognize one's own successful cognitive processing, in e.g. perceptual or memory tasks, is often referred to as metacognition. How should we quantitatively measure such ability? Here we focus on a class of measures that assess the correspondence between trial-by-trial accuracy and one's own confidence. In general, for healthy subjects endowed with metacognitive sensitivity, when one is confident, one is more likely to be correct. Thus the degree of association between accuracy and confidence can be taken as a quantitative measure of metacognition. However, many studies use a statistical correlation coefficient (e.g. Pearson's r) or its variant to assess this degree of association, and such measures are susceptible to undesirable influences from factors such as response biases. Here we review other measures based on signal detection theory and receiver operating characteristics (ROC) analysis that are “bias free”, and relate these quantities to the calibration and discrimination measures developed in the probability estimation literature. We go on to distinguish between the related concepts of metacognitive bias (a difference in subjective confidence despite basic task performance remaining constant), metacognitive sensitivity (how good one is at distinguishing between one’s own correct and incorrect judgments) and metacognitive efficiency (a subject’s level of metacognitive sensitivity given a certain level of task performance). Finally, we discuss how these three concepts pose interesting questions for the study of metacognition and conscious awareness.","container-title":"Frontiers in Human Neuroscience","DOI":"10.3389/fnhum.2014.00443","ISSN":"1662-5161","journalAbbreviation":"Front. Hum. Neurosci.","language":"English","page":"443","source":"Frontiers","title":"How to measure metacognition","volume":"8","author":[{"family":"Fleming","given":"Stephen M."},{"family":"Lau","given":"Hakwan C."}],"issued":{"date-parts":[["2014"]]}}},{"id":820,"uris":["http://zotero.org/users/3750895/items/MECMHWD2"],"itemData":{"id":820,"type":"book","abstract":"The book summarizes the application of signal detection theory to the analysis an measurement of humn observer's sensor sysem. The theory provides a way to analyze what had been called the threshold or sensory limen, the basic unit of all discrimination studies, whether human or animal. The book outlines the theory of statisical decision making and its application to a variety of common psychophysical processes. It shows how signal detection theory can be used to separate sensory and decision aspects of responses in dicrimination. The concepts of the ideal observer and energy detector are presented and compared with human auditory detection data. Signal detection theory is appliced to a variety of other substanditive problemsin sensory psychology. Signal Detection Theory and Psychology is an invaluable book for psychologists dealing with sensory perception, especailly auditory, for psychologists studying discrimination in other cognitivie processes, and for human factor engineers dealing with man/machine interfaces.","ISBN":"978-0-932146-23-6","language":"en","note":"Google-Books-ID: AjWwQgAACAAJ","number-of-pages":"505","publisher":"Wiley &amp; Sons, Inc.","source":"Google Books","title":"Signal detection theory and psychophysics","author":[{"family":"Green","given":"David Marvin"},{"family":"Swets","given":"John A."}],"issued":{"date-parts":[["1966"]]}}}],"schema":"https://github.com/citation-style-language/schema/raw/master/csl-citation.json"} </w:instrText>
      </w:r>
      <w:r w:rsidR="00491D80" w:rsidRPr="00636F71">
        <w:fldChar w:fldCharType="separate"/>
      </w:r>
      <w:r w:rsidR="00636F71" w:rsidRPr="00636F71">
        <w:rPr>
          <w:vertAlign w:val="superscript"/>
        </w:rPr>
        <w:t>3,47</w:t>
      </w:r>
      <w:r w:rsidR="00491D80" w:rsidRPr="00636F71">
        <w:fldChar w:fldCharType="end"/>
      </w:r>
      <w:r w:rsidRPr="00636F71">
        <w:t xml:space="preserve">. </w:t>
      </w:r>
      <w:r w:rsidR="00716BD4" w:rsidRPr="00636F71">
        <w:t xml:space="preserve">Our results extend previous correlations between perceptual and memory metacognitive bias in adults and demonstrate that they are equivalently present in children. Therefore, whatever process ultimately converts internal confidence to an external scale appears to be similar and </w:t>
      </w:r>
      <w:r w:rsidR="00F90BB0" w:rsidRPr="00636F71">
        <w:t xml:space="preserve">manifested in </w:t>
      </w:r>
      <w:r w:rsidR="00716BD4" w:rsidRPr="00636F71">
        <w:t>individual differences.</w:t>
      </w:r>
      <w:r w:rsidR="00CC2EFC">
        <w:t xml:space="preserve"> </w:t>
      </w:r>
      <w:r w:rsidR="00CC2EFC" w:rsidRPr="00636F71" w:rsidDel="00321E9D">
        <w:t xml:space="preserve">The correlation in bias also suggests that any correlational work that does not separate sensitivity from bias might </w:t>
      </w:r>
      <w:r w:rsidR="00CC2EFC" w:rsidRPr="00636F71" w:rsidDel="00321E9D">
        <w:t>conclude that children’s confidence sensitivity is correlated across domains, when only their bias might be.</w:t>
      </w:r>
    </w:p>
    <w:p w14:paraId="34C10E92" w14:textId="42BF8C61" w:rsidR="00ED5301" w:rsidRPr="00636F71" w:rsidRDefault="00716BD4" w:rsidP="005A785C">
      <w:pPr>
        <w:spacing w:line="240" w:lineRule="auto"/>
        <w:jc w:val="both"/>
      </w:pPr>
      <w:r w:rsidRPr="00636F71">
        <w:t>While much of the classic work on metacognition has argued for a two-step process – internal uncertainty signals simply converted to an external scale – more recent work has shown that there must be some kind of an intermediate step in which uncertainty is mapped to a mental confidence scale with confidence units (e.g., probability</w:t>
      </w:r>
      <w:r w:rsidR="00B63DD1" w:rsidRPr="00636F71">
        <w:t xml:space="preserve"> or </w:t>
      </w:r>
      <w:r w:rsidR="0001587F" w:rsidRPr="00636F71">
        <w:t>self-consistency</w:t>
      </w:r>
      <w:r w:rsidR="00B42F45">
        <w:t>)</w:t>
      </w:r>
      <w:r w:rsidR="00B42F45">
        <w:fldChar w:fldCharType="begin"/>
      </w:r>
      <w:r w:rsidR="00B42F45">
        <w:instrText xml:space="preserve"> ADDIN ZOTERO_ITEM CSL_CITATION {"citationID":"k8kjedap","properties":{"formattedCitation":"\\super 2,7\\nosupersub{}","plainCitation":"2,7","noteIndex":0},"citationItems":[{"id":298,"uris":["http://zotero.org/users/3750895/items/2IQGUQ8T"],"itemData":{"id":298,"type":"article-journal","abstract":"When facing uncertainty, adaptive behavioral strategies demand that the brain performs probabilistic computations. In this probabilistic framework, the notion of certainty and confidence would appear to be closely related, so much so that it is tempting to conclude that these two concepts are one and the same. We argue that there are computational reasons to distinguish between these two concepts. Specifically, we propose that confidence should be defined as the probability that a decision or a proposition, overt or covert, is correct given the evidence, a critical quantity in complex sequential decisions. We suggest that the term certainty should be reserved to refer to the encoding of all other probability distributions over sensory and cognitive variables. We also discuss strategies for studying the neural codes for confidence and certainty and argue that clear definitions of neural codes are essential to understanding the relative contributions of various cortical areas to decision making.","container-title":"Nature neuroscience","DOI":"10.1038/nn.4240","ISSN":"1097-6256","journalAbbreviation":"Nat Neurosci","note":"PMID: 26906503\nPMCID: PMC5378479","page":"366-374","source":"PubMed Central","title":"Confidence and certainty: distinct probabilistic quantities for different goals","title-short":"Confidence and certainty","volume":"19","author":[{"family":"Pouget","given":"Alexandre"},{"family":"Drugowitsch","given":"Jan"},{"family":"Kepecs","given":"Adam"}],"issued":{"date-parts":[["2016",3]]}}},{"id":1834,"uris":["http://zotero.org/users/3750895/items/CZ5D7FYR"],"itemData":{"id":1834,"type":"article-journal","abstract":"Each perceptual decision is commonly attached to a judgment of confidence in the uncertainty of that decision. Confidence is classically defined as the estimate of the posterior probability of the decision to be correct, given the evidence. Here we argue that correctness is neither a valid normative statement of what observers should be doing after their perceptual decision nor a proper descriptive statement of what they actually do. Instead, we propose that perceivers aim at being self-consistent with themselves. We present behavioral evidence obtained in two separate psychophysical experiments that human observers achieve that aim. In one experiment adaptation led to aftereffects, and in the other prior stimulus occurrences were manipulated. We show that confidence judgments perfectly follow changes in perceptual reports and response times, regardless of the nature of the bias. Although observers are able to judge the validity of their percepts, they are oblivious to how biased these percepts are. Focusing on self-consistency rather than correctness leads us to interpret confidence as an estimate of the reliability of one's perceptual decision rather than a distance to an unattainable truth.","container-title":"Journal of Vision","DOI":"10.1167/jov.21.12.8","ISSN":"1534-7362","issue":"12","journalAbbreviation":"Journal of Vision","page":"8","source":"Silverchair","title":"Perceptual confidence judgments reflect self-consistency","volume":"21","author":[{"family":"Caziot","given":"Baptiste"},{"family":"Mamassian","given":"Pascal"}],"issued":{"date-parts":[["2021",11,18]]}}}],"schema":"https://github.com/citation-style-language/schema/raw/master/csl-citation.json"} </w:instrText>
      </w:r>
      <w:r w:rsidR="00B42F45">
        <w:fldChar w:fldCharType="separate"/>
      </w:r>
      <w:r w:rsidR="00B42F45" w:rsidRPr="00B42F45">
        <w:rPr>
          <w:vertAlign w:val="superscript"/>
        </w:rPr>
        <w:t>2,7</w:t>
      </w:r>
      <w:r w:rsidR="00B42F45">
        <w:fldChar w:fldCharType="end"/>
      </w:r>
      <w:r w:rsidRPr="00636F71">
        <w:t xml:space="preserve">. This follows from models that suggest that confidence is a grouping of multiple lower-level cues – e.g., memory familiarity </w:t>
      </w:r>
      <w:r w:rsidRPr="00636F71">
        <w:rPr>
          <w:i/>
          <w:iCs/>
        </w:rPr>
        <w:t xml:space="preserve">and </w:t>
      </w:r>
      <w:r w:rsidRPr="00636F71">
        <w:t xml:space="preserve">retrieval fluency </w:t>
      </w:r>
      <w:r w:rsidRPr="00636F71">
        <w:rPr>
          <w:i/>
          <w:iCs/>
        </w:rPr>
        <w:t xml:space="preserve">and </w:t>
      </w:r>
      <w:r w:rsidRPr="00636F71">
        <w:t>one’s beliefs about how good their memory is</w:t>
      </w:r>
      <w:r w:rsidRPr="00636F71">
        <w:rPr>
          <w:i/>
          <w:iCs/>
        </w:rPr>
        <w:t xml:space="preserve">, </w:t>
      </w:r>
      <w:r w:rsidRPr="00636F71">
        <w:t xml:space="preserve">etc. </w:t>
      </w:r>
      <w:r w:rsidR="00491D80" w:rsidRPr="00636F71">
        <w:fldChar w:fldCharType="begin"/>
      </w:r>
      <w:r w:rsidR="00636F71" w:rsidRPr="00636F71">
        <w:instrText xml:space="preserve"> ADDIN ZOTERO_ITEM CSL_CITATION {"citationID":"ZXysIVSj","properties":{"formattedCitation":"\\super 48\\nosupersub{}","plainCitation":"48","noteIndex":0},"citationItems":[{"id":294,"uris":["http://zotero.org/users/3750895/items/9A9XEJD7"],"itemData":{"id":294,"type":"article-journal","abstract":"How do people monitor the correctness of their answers? A self-consistency model is proposed for the process underlying confidence judgments and their accuracy. In answering a 2-alternative question, participants are assumed to retrieve a sample of representations of the question and base their confidence on the consistency with which the chosen answer is supported across representations. Confidence is modeled by analogy to the calculation of statistical level of confidence (SLC) in testing hypotheses about a population and represents the participant's assessment of the likelihood that a new sample will yield the same choice. Assuming that participants draw representations from a commonly shared item-specific population of representations, predictions were derived regarding the function relating confidence to inter-participant consensus and intra-participant consistency for the more preferred (majority) and the less preferred (minority) choices. The predicted pattern was confirmed for several different tasks. The confidence–accuracy relationship was shown to be a by-product of the consistency–correctness relationship: It is positive because the answers that are consistently chosen are generally correct, but negative when the wrong answers tend to be favored. The overconfidence bias stems from the reliability–validity discrepancy: Confidence monitors reliability (or self-consistency), but its accuracy is evaluated in calibration studies against correctness. Simulation and empirical results suggest that response speed is a frugal cue for self-consistency, and its validity depends on the validity of self-consistency in predicting performance. Another mnemonic cue—accessibility, which is the overall amount of information that comes to mind—makes an added, independent contribution. Self-consistency and accessibility may correspond to the 2 parameters that affect SLC: sample variance and sample size. (PsycINFO Database Record (c) 2016 APA, all rights reserved)","container-title":"Psychological Review","DOI":"10.1037/a0025648","ISSN":"1939-1471(Electronic),0033-295X(Print)","page":"80-113","source":"APA PsycNET","title":"The self-consistency model of subjective confidence","volume":"119","author":[{"family":"Koriat","given":"Asher"}],"issued":{"date-parts":[["2012"]]}}}],"schema":"https://github.com/citation-style-language/schema/raw/master/csl-citation.json"} </w:instrText>
      </w:r>
      <w:r w:rsidR="00491D80" w:rsidRPr="00636F71">
        <w:fldChar w:fldCharType="separate"/>
      </w:r>
      <w:r w:rsidR="00636F71" w:rsidRPr="00636F71">
        <w:rPr>
          <w:vertAlign w:val="superscript"/>
        </w:rPr>
        <w:t>48</w:t>
      </w:r>
      <w:r w:rsidR="00491D80" w:rsidRPr="00636F71">
        <w:fldChar w:fldCharType="end"/>
      </w:r>
      <w:r w:rsidR="001958B8" w:rsidRPr="00636F71">
        <w:t>, which must then be combined into an internal estimate</w:t>
      </w:r>
      <w:r w:rsidR="00EC211A" w:rsidRPr="00636F71">
        <w:t xml:space="preserve"> on an abstract scale. </w:t>
      </w:r>
      <w:r w:rsidR="002029E2" w:rsidRPr="00636F71">
        <w:t xml:space="preserve">If this scale is distinct for different domains, comparison of confidence states should be costly, while a common scale would permit for </w:t>
      </w:r>
      <w:r w:rsidR="000A088A" w:rsidRPr="00636F71">
        <w:t>efficient</w:t>
      </w:r>
      <w:r w:rsidR="002029E2" w:rsidRPr="00636F71">
        <w:t xml:space="preserve"> comparison across domains. </w:t>
      </w:r>
      <w:bookmarkStart w:id="24" w:name="_Hlk214441352"/>
      <w:r w:rsidR="002029E2" w:rsidRPr="00636F71">
        <w:t>Our results in Experiment 2 suggest that from age 6 onward</w:t>
      </w:r>
      <w:r w:rsidR="0001587F" w:rsidRPr="00636F71">
        <w:t>,</w:t>
      </w:r>
      <w:r w:rsidR="002029E2" w:rsidRPr="00636F71">
        <w:t xml:space="preserve"> confidence for memory and perception is represented on </w:t>
      </w:r>
      <w:r w:rsidR="006F3F50" w:rsidRPr="00636F71">
        <w:t xml:space="preserve">either </w:t>
      </w:r>
      <w:r w:rsidR="002029E2" w:rsidRPr="00636F71">
        <w:t>an identical internal scale or</w:t>
      </w:r>
      <w:r w:rsidR="0001587F" w:rsidRPr="00636F71">
        <w:t xml:space="preserve"> </w:t>
      </w:r>
      <w:r w:rsidR="00A5205F" w:rsidRPr="00636F71">
        <w:t>on</w:t>
      </w:r>
      <w:r w:rsidR="002029E2" w:rsidRPr="00636F71">
        <w:t xml:space="preserve"> scales so easily translatable that comparison </w:t>
      </w:r>
      <w:r w:rsidR="006F3F50" w:rsidRPr="00636F71">
        <w:t>does not invoke a cost to accuracy</w:t>
      </w:r>
      <w:r w:rsidR="002029E2" w:rsidRPr="00636F71">
        <w:t xml:space="preserve">. </w:t>
      </w:r>
      <w:bookmarkStart w:id="25" w:name="_Hlk214461144"/>
      <w:bookmarkEnd w:id="24"/>
      <w:r w:rsidR="002029E2" w:rsidRPr="00636F71">
        <w:t>Therefore, while the underlying information for memory and perceptual confidence</w:t>
      </w:r>
      <w:r w:rsidR="00287D46" w:rsidRPr="00636F71">
        <w:t xml:space="preserve"> appears</w:t>
      </w:r>
      <w:r w:rsidR="002029E2" w:rsidRPr="00636F71">
        <w:t xml:space="preserve"> distinct, </w:t>
      </w:r>
      <w:r w:rsidR="00287D46" w:rsidRPr="00636F71">
        <w:t>our data suggest these signals can be mapped</w:t>
      </w:r>
      <w:r w:rsidR="002029E2" w:rsidRPr="00636F71">
        <w:t xml:space="preserve"> </w:t>
      </w:r>
      <w:r w:rsidR="00287D46" w:rsidRPr="00636F71">
        <w:t>o</w:t>
      </w:r>
      <w:r w:rsidR="002029E2" w:rsidRPr="00636F71">
        <w:t xml:space="preserve">nto a comparable </w:t>
      </w:r>
      <w:r w:rsidR="00287D46" w:rsidRPr="00636F71">
        <w:t xml:space="preserve">scale. </w:t>
      </w:r>
      <w:bookmarkStart w:id="26" w:name="_Hlk215828493"/>
      <w:r w:rsidR="007D032E" w:rsidRPr="00636F71">
        <w:t>We conducted our studies in the domain of visual perception and visual memory to ensure that potential differences in metacognitive functioning did not stem from coarse differences in the type of stimuli.</w:t>
      </w:r>
      <w:r w:rsidR="009255A8" w:rsidRPr="00636F71">
        <w:t xml:space="preserve"> </w:t>
      </w:r>
      <w:r w:rsidR="007D032E" w:rsidRPr="00636F71">
        <w:t xml:space="preserve">However, </w:t>
      </w:r>
      <w:r w:rsidR="00287D46" w:rsidRPr="00636F71">
        <w:t xml:space="preserve">future work </w:t>
      </w:r>
      <w:r w:rsidR="007D032E" w:rsidRPr="00636F71">
        <w:t>should</w:t>
      </w:r>
      <w:r w:rsidR="00287D46" w:rsidRPr="00636F71">
        <w:t xml:space="preserve"> test</w:t>
      </w:r>
      <w:r w:rsidR="007D032E" w:rsidRPr="00636F71">
        <w:t xml:space="preserve"> for a comparable scale</w:t>
      </w:r>
      <w:r w:rsidR="00287D46" w:rsidRPr="00636F71">
        <w:t xml:space="preserve"> in other domains</w:t>
      </w:r>
      <w:r w:rsidR="00A5205F" w:rsidRPr="00636F71">
        <w:t>, sensory modalities,</w:t>
      </w:r>
      <w:r w:rsidR="00287D46" w:rsidRPr="00636F71">
        <w:t xml:space="preserve"> and formats.</w:t>
      </w:r>
      <w:bookmarkEnd w:id="25"/>
      <w:bookmarkEnd w:id="26"/>
    </w:p>
    <w:p w14:paraId="797BD933" w14:textId="5DAABD16" w:rsidR="008E3EBF" w:rsidRPr="00636F71" w:rsidRDefault="008E3EBF" w:rsidP="005A785C">
      <w:pPr>
        <w:spacing w:line="240" w:lineRule="auto"/>
        <w:jc w:val="both"/>
      </w:pPr>
      <w:r w:rsidRPr="00636F71">
        <w:t xml:space="preserve">There are some limitations to this work. Our preregistered exclusion criteria led to about 20% of adults and 40% of children (especially 4-year-olds) being removed from the analysis in Experiment 1. </w:t>
      </w:r>
      <w:bookmarkStart w:id="27" w:name="_Hlk215068440"/>
      <w:r w:rsidR="00721AD3" w:rsidRPr="00636F71">
        <w:t xml:space="preserve">Our results may therefore over-represent people with </w:t>
      </w:r>
      <w:r w:rsidR="00362505" w:rsidRPr="00636F71">
        <w:t xml:space="preserve">stronger </w:t>
      </w:r>
      <w:r w:rsidR="00721AD3" w:rsidRPr="00636F71">
        <w:t xml:space="preserve">attention </w:t>
      </w:r>
      <w:r w:rsidR="00362505" w:rsidRPr="00636F71">
        <w:t>or working memory ability or motivation to complete the task</w:t>
      </w:r>
      <w:r w:rsidR="00FA2691" w:rsidRPr="00636F71">
        <w:t xml:space="preserve">, though our robustness tests found nearly identical results with reduced exclusion criteria (see </w:t>
      </w:r>
      <w:r w:rsidR="00013263">
        <w:t xml:space="preserve">Robustness Tests in the </w:t>
      </w:r>
      <w:r w:rsidR="00FA2691" w:rsidRPr="00636F71">
        <w:t>Supplemental Information)</w:t>
      </w:r>
      <w:r w:rsidR="00721AD3" w:rsidRPr="00636F71">
        <w:t>.</w:t>
      </w:r>
      <w:r w:rsidR="002D424F" w:rsidRPr="00636F71">
        <w:t xml:space="preserve"> </w:t>
      </w:r>
      <w:bookmarkStart w:id="28" w:name="_Hlk214465174"/>
      <w:bookmarkEnd w:id="27"/>
      <w:r w:rsidR="00920F11" w:rsidRPr="00636F71">
        <w:t xml:space="preserve">With respect to our commensurability question, we did not measure reaction times or other types of costs, which limits our ability to draw firm conclusions as to whether </w:t>
      </w:r>
      <w:r w:rsidR="00920F11" w:rsidRPr="00636F71">
        <w:lastRenderedPageBreak/>
        <w:t xml:space="preserve">confidence is represented on an identical internal scale or on scales that are easily translatable. Future research should focus on collecting additional indices to provide a more comprehensive assessment of potential costs of task comparisons. </w:t>
      </w:r>
      <w:r w:rsidR="00721AD3" w:rsidRPr="00636F71">
        <w:t>We also found a discrepancy between the frequentist and Bayesian results for 4-5-year-olds in Experiment 2,</w:t>
      </w:r>
      <w:r w:rsidR="009255A8" w:rsidRPr="00636F71">
        <w:t xml:space="preserve"> </w:t>
      </w:r>
      <w:r w:rsidR="00721AD3" w:rsidRPr="00636F71">
        <w:t>which limits our ability to make strong claims about the trajectory of a common scale in these ages</w:t>
      </w:r>
      <w:bookmarkEnd w:id="28"/>
      <w:r w:rsidR="009255A8" w:rsidRPr="00636F71">
        <w:t xml:space="preserve">. </w:t>
      </w:r>
      <w:bookmarkStart w:id="29" w:name="_Hlk215846845"/>
      <w:bookmarkStart w:id="30" w:name="_Hlk215826467"/>
      <w:r w:rsidR="009255A8" w:rsidRPr="00636F71">
        <w:t xml:space="preserve">Strong claims about age trajectories are also </w:t>
      </w:r>
      <w:r w:rsidR="00DB6C01" w:rsidRPr="00636F71">
        <w:t>constrained by</w:t>
      </w:r>
      <w:r w:rsidR="009255A8" w:rsidRPr="00636F71">
        <w:t xml:space="preserve"> differences </w:t>
      </w:r>
      <w:r w:rsidR="005243B7">
        <w:t xml:space="preserve">accuracy levels and </w:t>
      </w:r>
      <w:r w:rsidR="009255A8" w:rsidRPr="00636F71">
        <w:t>in memory stimuli (colour identification in children and state identification in adults).</w:t>
      </w:r>
      <w:bookmarkEnd w:id="29"/>
      <w:r w:rsidR="009255A8" w:rsidRPr="00636F71">
        <w:t xml:space="preserve"> </w:t>
      </w:r>
      <w:r w:rsidR="00DB6C01" w:rsidRPr="00636F71">
        <w:t xml:space="preserve">However, while these task differences might offer some commonalities through shared colour reasoning, </w:t>
      </w:r>
      <w:r w:rsidR="009255A8" w:rsidRPr="00636F71">
        <w:t xml:space="preserve">we do not </w:t>
      </w:r>
      <w:r w:rsidR="00DB6C01" w:rsidRPr="00636F71">
        <w:t>observe</w:t>
      </w:r>
      <w:r w:rsidR="009255A8" w:rsidRPr="00636F71">
        <w:t xml:space="preserve"> higher correlations in children’s metacognitive indices relative to adults</w:t>
      </w:r>
      <w:r w:rsidR="00DB6C01" w:rsidRPr="00636F71">
        <w:t>, suggesting minimal influence on our results.</w:t>
      </w:r>
      <w:bookmarkEnd w:id="30"/>
    </w:p>
    <w:p w14:paraId="4785446A" w14:textId="11D95198" w:rsidR="00FE2A8F" w:rsidRPr="00636F71" w:rsidRDefault="00012F5A" w:rsidP="005A785C">
      <w:pPr>
        <w:spacing w:line="240" w:lineRule="auto"/>
        <w:jc w:val="both"/>
      </w:pPr>
      <w:bookmarkStart w:id="31" w:name="_Hlk214461601"/>
      <w:bookmarkStart w:id="32" w:name="_Hlk214444601"/>
      <w:bookmarkStart w:id="33" w:name="_Hlk215829544"/>
      <w:r w:rsidRPr="00636F71">
        <w:t>Our work helps reconcile previously contradictory findings in the literature by showing that some aspects of confidence representations are domain-specific, while others are domain-general, and that this pattern largely holds across development.</w:t>
      </w:r>
      <w:r w:rsidR="00193A9D" w:rsidRPr="00636F71">
        <w:t xml:space="preserve"> </w:t>
      </w:r>
      <w:r w:rsidR="00920F11" w:rsidRPr="00636F71">
        <w:t xml:space="preserve">The results of this study have potential implications for how to interpret and promote metacognitive awareness, an important consideration given the documented importance of metacognitive skills for academic achievement </w:t>
      </w:r>
      <w:r w:rsidR="00920F11" w:rsidRPr="00636F71">
        <w:fldChar w:fldCharType="begin"/>
      </w:r>
      <w:r w:rsidR="00636F71" w:rsidRPr="00636F71">
        <w:instrText xml:space="preserve"> ADDIN ZOTERO_ITEM CSL_CITATION {"citationID":"yX6DfegV","properties":{"formattedCitation":"\\super 49,50\\nosupersub{}","plainCitation":"49,50","noteIndex":0},"citationItems":[{"id":2673,"uris":["http://zotero.org/users/3750895/items/MPWID2CB"],"itemData":{"id":2673,"type":"article-journal","abstract":"In the present meta-analysis, we systematically examined the association between students’ initial level of metacognition and their academic achievement at least three months later. Using multilevel meta-analysis as well as meta-analytic structural equation modelling, we analysed data from 71,171 students provided by 28 independent studies. The findings indicated a positive relationship between initial metacognition and subsequent academic achievement (r = .22, 95% CI = [0.18, 0.33], p &lt; .001). Meanwhile, age, gender, time lag, educational stage, culture, and the composition and measurement of metacognition were considered as potential moderating variables. Moreover, while previous research has typically viewed high levels of academic achievement as a consequence of high levels of metacognition, the self-determination theory (SDT) suggests that high levels of academic achievement may also be an antecedent of high levels of metacognition. Therefore, we conducted cross-lagged panel analyses, and after accounting for autoregressive effects, the results showed that students’ initial academic achievement was also a significant positive predictor of subsequent metacognitive levels. Finally, theoretical and practical implications are discussed.","container-title":"Educational Psychology Review","DOI":"10.1007/s10648-024-09922-w","ISSN":"1573-336X","issue":"3","journalAbbreviation":"Educ Psychol Rev","language":"en","page":"81","source":"Springer Link","title":"The  association between initial metacognition and   subsequent academic achievement: a meta-analysis of longitudinal studies","title-short":"The  association between initial metacognition and   subsequent academic achievement","volume":"36","author":[{"family":"He","given":"Guohao"},{"family":"Chen","given":"Songshan"},{"family":"Lin","given":"Hongyi"},{"family":"Su","given":"Aoxue"}],"issued":{"date-parts":[["2024",7,31]]}}},{"id":2675,"uris":["http://zotero.org/users/3750895/items/TYH5TSBU"],"itemData":{"id":2675,"type":"article-journal","abstract":"This meta-analytic study estimated the correlations among metacognition, intelligence, and academic performance. Metacognition is higher order cognition and one of the most significant predictors of academic performance. The purpose of this study was to examine the degree to which metacognition predicted academic performance when controlling for intelligence. The analysis of 149 samples from 118 articles revealed that, overall, metacognition weakly correlated with both academic performance and intelligence, and that these relationships were moderated by the type of measurement of metacognition. Furthermore, it was found that metacognition predicted academic performance when controlling for intelligence. Our findings indicate the importance of metacognition in educational practice and provide guidance for assessing metacognition in future research.","container-title":"Metacognition and Learning","DOI":"10.1007/s11409-018-9183-8","ISSN":"1556-1631","issue":"2","journalAbbreviation":"Metacognition Learning","language":"en","page":"179-212","source":"Springer Link","title":"Beyond intelligence: a meta-analytic review of the relationship among metacognition, intelligence, and academic performance","title-short":"Beyond intelligence","volume":"13","author":[{"family":"Ohtani","given":"Kazuhiro"},{"family":"Hisasaka","given":"Tetsuya"}],"issued":{"date-parts":[["2018",8,1]]}}}],"schema":"https://github.com/citation-style-language/schema/raw/master/csl-citation.json"} </w:instrText>
      </w:r>
      <w:r w:rsidR="00920F11" w:rsidRPr="00636F71">
        <w:fldChar w:fldCharType="separate"/>
      </w:r>
      <w:r w:rsidR="00636F71" w:rsidRPr="00636F71">
        <w:rPr>
          <w:vertAlign w:val="superscript"/>
        </w:rPr>
        <w:t>49,50</w:t>
      </w:r>
      <w:r w:rsidR="00920F11" w:rsidRPr="00636F71">
        <w:fldChar w:fldCharType="end"/>
      </w:r>
      <w:r w:rsidR="00920F11" w:rsidRPr="00636F71">
        <w:t>. The absence of a correlation between metacognitive sensitiv</w:t>
      </w:r>
      <w:r w:rsidR="00636018">
        <w:t>ity</w:t>
      </w:r>
      <w:r w:rsidR="00920F11" w:rsidRPr="00636F71">
        <w:t xml:space="preserve"> across cognitive domains suggests that educators should resist drawing inferences about children’s metacognitive skills based on abilities shown in a particular domain. Conversely, training metacognitive sensitivity in one domain to recognize mistakes or devote more efforts to learning likely will nor transfer across domains.</w:t>
      </w:r>
      <w:bookmarkEnd w:id="31"/>
      <w:bookmarkEnd w:id="32"/>
      <w:r w:rsidR="00920F11" w:rsidRPr="00636F71">
        <w:t xml:space="preserve"> </w:t>
      </w:r>
      <w:r w:rsidR="00B715AA" w:rsidRPr="00636F71">
        <w:t>Investigations into whether and how developmental change occurs in the process of generating confidence remains a fruitful avenue for our understanding of metacognitive confidence judgments.</w:t>
      </w:r>
    </w:p>
    <w:bookmarkEnd w:id="33"/>
    <w:p w14:paraId="6D45D3BE" w14:textId="77777777" w:rsidR="00CC4041" w:rsidRPr="00636F71" w:rsidRDefault="00CC4041" w:rsidP="005A785C">
      <w:pPr>
        <w:spacing w:line="240" w:lineRule="auto"/>
        <w:jc w:val="both"/>
      </w:pPr>
    </w:p>
    <w:p w14:paraId="4A4D1AAD" w14:textId="2AD90195" w:rsidR="00CC4041" w:rsidRPr="00636F71" w:rsidRDefault="00CC4041" w:rsidP="005A785C">
      <w:pPr>
        <w:pStyle w:val="Heading1"/>
        <w:spacing w:line="240" w:lineRule="auto"/>
        <w:jc w:val="both"/>
      </w:pPr>
      <w:r w:rsidRPr="00636F71">
        <w:t>Methods</w:t>
      </w:r>
    </w:p>
    <w:p w14:paraId="074FBAEC" w14:textId="525B4890" w:rsidR="00380E01" w:rsidRPr="00636F71" w:rsidRDefault="00380E01" w:rsidP="005A785C">
      <w:pPr>
        <w:spacing w:line="240" w:lineRule="auto"/>
        <w:jc w:val="both"/>
      </w:pPr>
      <w:r w:rsidRPr="00636F71">
        <w:t xml:space="preserve">All preregistrations, materials, data, and analyses can be found on </w:t>
      </w:r>
      <w:hyperlink r:id="rId21" w:history="1">
        <w:r w:rsidR="00232BE6" w:rsidRPr="00636F71">
          <w:rPr>
            <w:rStyle w:val="Hyperlink"/>
          </w:rPr>
          <w:t>https://osf.io/hf6xj/</w:t>
        </w:r>
      </w:hyperlink>
      <w:r w:rsidRPr="00636F71">
        <w:t>.</w:t>
      </w:r>
      <w:r w:rsidR="00232BE6" w:rsidRPr="00636F71">
        <w:t xml:space="preserve"> All studies were approved by the University of British Columbia’s Behavioural Research Ethics Board under projects “The Psychophysics of Quantity, Language, </w:t>
      </w:r>
      <w:r w:rsidR="00232BE6" w:rsidRPr="00636F71">
        <w:t xml:space="preserve">and Internal Confidence” (H14-01968) and “Development of Quantity and Language” (H14-01984). </w:t>
      </w:r>
      <w:r w:rsidR="00FE042D" w:rsidRPr="00636F71">
        <w:t>Adults provided consent for themselves, and c</w:t>
      </w:r>
      <w:r w:rsidR="00232BE6" w:rsidRPr="00636F71">
        <w:t>hildren participated only if their parents or legal guardians provided written consent.</w:t>
      </w:r>
      <w:r w:rsidR="00722CD3" w:rsidRPr="00636F71">
        <w:t xml:space="preserve"> Adults received course credit, and children received a sticker and a certificate.</w:t>
      </w:r>
    </w:p>
    <w:p w14:paraId="62B1A514" w14:textId="77777777" w:rsidR="00CC4041" w:rsidRPr="00636F71" w:rsidRDefault="00CC4041" w:rsidP="005A785C">
      <w:pPr>
        <w:pStyle w:val="Heading2"/>
        <w:spacing w:line="240" w:lineRule="auto"/>
        <w:jc w:val="both"/>
      </w:pPr>
      <w:r w:rsidRPr="00636F71">
        <w:t>Experiments 1A (Adults) and 1B (Children)</w:t>
      </w:r>
    </w:p>
    <w:p w14:paraId="0EAC81ED" w14:textId="77777777" w:rsidR="00CC4041" w:rsidRPr="00636F71" w:rsidRDefault="00CC4041" w:rsidP="005A785C">
      <w:pPr>
        <w:pStyle w:val="Heading3"/>
        <w:spacing w:line="240" w:lineRule="auto"/>
        <w:jc w:val="both"/>
      </w:pPr>
      <w:r w:rsidRPr="00636F71">
        <w:t>Participants</w:t>
      </w:r>
    </w:p>
    <w:p w14:paraId="0B010F08" w14:textId="24CCD839" w:rsidR="00CC4041" w:rsidRPr="00636F71" w:rsidRDefault="00CC4041" w:rsidP="005A785C">
      <w:pPr>
        <w:spacing w:line="240" w:lineRule="auto"/>
        <w:jc w:val="both"/>
      </w:pPr>
      <w:r w:rsidRPr="00636F71">
        <w:t>We recruited 163 undergraduate students at a large North American university in an on-campus lab and 216 children ages 5 through 7 years at local schools and daycares and online from a local participant database.</w:t>
      </w:r>
      <w:r w:rsidR="00092C70" w:rsidRPr="00636F71">
        <w:t xml:space="preserve"> This age group for children was chosen because of previous work showing some developmental changes in confidence</w:t>
      </w:r>
      <w:r w:rsidR="003D3FF1" w:rsidRPr="00636F71">
        <w:t xml:space="preserve"> domain-generality</w:t>
      </w:r>
      <w:r w:rsidR="00092C70" w:rsidRPr="00636F71">
        <w:t xml:space="preserve"> between 5 and 8 years of age</w:t>
      </w:r>
      <w:bookmarkStart w:id="34" w:name="_Hlk214444926"/>
      <w:r w:rsidR="00092C70" w:rsidRPr="00636F71">
        <w:t xml:space="preserve"> </w:t>
      </w:r>
      <w:r w:rsidR="00092C70" w:rsidRPr="00636F71">
        <w:fldChar w:fldCharType="begin"/>
      </w:r>
      <w:r w:rsidR="00B42F45">
        <w:instrText xml:space="preserve"> ADDIN ZOTERO_ITEM CSL_CITATION {"citationID":"ZYogEch3","properties":{"formattedCitation":"\\super 36,38\\nosupersub{}","plainCitation":"36,38","noteIndex":0},"citationItems":[{"id":492,"uris":["http://zotero.org/users/3750895/items/26XWZS9Y"],"itemData":{"id":492,"type":"article-journal","abstract":"Our minds constantly evaluate the confidence in what we see, think, and remember. Previous work suggests that confidence is a domain-general currency in adulthood, unifying otherwise independent sensory and perceptual representations. Here, we test whether children also possess a domain-general sense of confidence over otherwise independent perceptual dimensions. Six- to 9-year-olds completed either three simple perceptual discrimination tasks—a number task (“Which group has more dots?”), an area task (“Which blob is bigger?”), and an emotions task (“Which face is happier?”)—or three relative confidence tasks, selecting which of two trials they are more confident on. We find that while children’s discrimination performance across the three tasks was independent and constituted three separate factors, children’s confidence in each of three dimensions was strongly correlated and constituted only a single factor. Our results suggest that confidence is a domain-general currency even in childhood, providing a mechanism by which disparate perceptual representations could be integrated.","container-title":"Open Mind: Discoveries in Cognitive Science","DOI":"10.1162/opmi_a_00020","journalAbbreviation":"Open Mind","license":"All rights reserved","page":"86-96","source":"MIT Press Journals","title":"A domain-general sense of confidence in children","volume":"2","author":[{"family":"Baer","given":"Carolyn"},{"family":"Gill","given":"Inderpreet K."},{"family":"Odic","given":"Darko"}],"issued":{"date-parts":[["2018"]]}}},{"id":47,"uris":["http://zotero.org/users/3750895/items/K2VVJRZ7"],"itemData":{"id":47,"type":"article-journal","container-title":"Psychological science","DOI":"10.1177/0956797614538458","page":"1712–1721","source":"Google Scholar","title":"Young children bet on their numerical skills metacognition in the numerical domain","volume":"25","author":[{"family":"Vo","given":"Vy A."},{"family":"Li","given":"Rosa"},{"family":"Kornell","given":"Nate"},{"family":"Pouget","given":"Alexandre"},{"family":"Cantlon","given":"Jessica F."}],"issued":{"date-parts":[["2014"]]}}}],"schema":"https://github.com/citation-style-language/schema/raw/master/csl-citation.json"} </w:instrText>
      </w:r>
      <w:r w:rsidR="00092C70" w:rsidRPr="00636F71">
        <w:fldChar w:fldCharType="separate"/>
      </w:r>
      <w:r w:rsidR="00B42F45" w:rsidRPr="00B42F45">
        <w:rPr>
          <w:vertAlign w:val="superscript"/>
        </w:rPr>
        <w:t>36,38</w:t>
      </w:r>
      <w:r w:rsidR="00092C70" w:rsidRPr="00636F71">
        <w:fldChar w:fldCharType="end"/>
      </w:r>
      <w:bookmarkEnd w:id="34"/>
      <w:r w:rsidR="00092C70" w:rsidRPr="00636F71">
        <w:t>, and to provide data on memory and perceptual confidence domain-generality in a younger age group than previously studied.</w:t>
      </w:r>
      <w:r w:rsidRPr="00636F71">
        <w:t xml:space="preserve"> Participants generally came from middle-class White and East/Southeast Asian backgrounds, representative of the city where testing took place.</w:t>
      </w:r>
    </w:p>
    <w:p w14:paraId="42AA66A5" w14:textId="3F36AAFE" w:rsidR="00CC4041" w:rsidRPr="00636F71" w:rsidRDefault="00CC4041" w:rsidP="005A785C">
      <w:pPr>
        <w:spacing w:line="240" w:lineRule="auto"/>
        <w:jc w:val="both"/>
      </w:pPr>
      <w:r w:rsidRPr="00636F71">
        <w:t>Following our preregistered plans (</w:t>
      </w:r>
      <w:hyperlink r:id="rId22" w:history="1">
        <w:r w:rsidRPr="00636F71">
          <w:rPr>
            <w:rStyle w:val="Hyperlink"/>
          </w:rPr>
          <w:t>https://osf.io/yq73r/</w:t>
        </w:r>
      </w:hyperlink>
      <w:r w:rsidRPr="00636F71">
        <w:t xml:space="preserve"> and </w:t>
      </w:r>
      <w:hyperlink r:id="rId23" w:history="1">
        <w:r w:rsidRPr="00636F71">
          <w:rPr>
            <w:rStyle w:val="Hyperlink"/>
          </w:rPr>
          <w:t>https://osf.io/9gsnq</w:t>
        </w:r>
      </w:hyperlink>
      <w:r w:rsidR="00722CD3" w:rsidRPr="00636F71">
        <w:t xml:space="preserve"> from November 2019</w:t>
      </w:r>
      <w:r w:rsidRPr="00636F71">
        <w:t xml:space="preserve">), we excluded participants who completed insufficient trials on either task (quantified as 100% for children: 15 for memory, 18 for perceptual, or 80% for adults: 2 for memory, 5 for perceptual), who did not understand the memory or perceptual task (quantified as accuracy below 55% for children: 44 for memory, 24 for perceptual; or failing a binomial test for adults: 21 for memory, 4 for perceptual), who had no variability in their confidence judgments (3 children for memory, 8 children for perceptual), or who heard English less than 50% of the time (2 children). We intended to include 4-year-olds, but had to exclude 17 of 19 of 4-year-old children tested based on these criteria. </w:t>
      </w:r>
      <w:bookmarkStart w:id="35" w:name="_Hlk213865004"/>
      <w:r w:rsidRPr="00636F71">
        <w:t>We therefore excluded all 4-year-olds and increased our sample of 5-7-year-olds.</w:t>
      </w:r>
      <w:r w:rsidR="00CF0808" w:rsidRPr="00636F71">
        <w:t xml:space="preserve"> We conducted a robustness test of our results by including any participant who completed the study, and found the same patterns of correlations as reported in the Results (</w:t>
      </w:r>
      <w:bookmarkStart w:id="36" w:name="_Hlk215068277"/>
      <w:r w:rsidR="00FA2691" w:rsidRPr="00636F71">
        <w:t xml:space="preserve">see </w:t>
      </w:r>
      <w:r w:rsidR="00013263">
        <w:t xml:space="preserve">Robustness Tests in the </w:t>
      </w:r>
      <w:r w:rsidR="00FA2691" w:rsidRPr="00636F71">
        <w:t xml:space="preserve">Supplemental Information; </w:t>
      </w:r>
      <w:bookmarkEnd w:id="36"/>
      <w:r w:rsidR="00CF0808" w:rsidRPr="00636F71">
        <w:t xml:space="preserve">all data and code are available on OSF). The only different results were </w:t>
      </w:r>
      <w:r w:rsidR="00CF0808" w:rsidRPr="00636F71">
        <w:lastRenderedPageBreak/>
        <w:t>significant main effects and interactions of Age and Accuracy in the ANOVA on children’s confidence ratings, driven by a lack of difference in confidence ratings between accurate and inaccurate trials for 4-year-olds.</w:t>
      </w:r>
      <w:bookmarkEnd w:id="35"/>
    </w:p>
    <w:p w14:paraId="1E309F63" w14:textId="296859D3" w:rsidR="00CC4041" w:rsidRPr="00636F71" w:rsidRDefault="00CC4041" w:rsidP="005A785C">
      <w:pPr>
        <w:spacing w:line="240" w:lineRule="auto"/>
        <w:jc w:val="both"/>
      </w:pPr>
      <w:r w:rsidRPr="00636F71">
        <w:t>Our final samples included 129 adults and 131 children (</w:t>
      </w:r>
      <w:r w:rsidRPr="00636F71">
        <w:rPr>
          <w:i/>
          <w:iCs/>
        </w:rPr>
        <w:t>M</w:t>
      </w:r>
      <w:r w:rsidRPr="00636F71">
        <w:rPr>
          <w:i/>
          <w:iCs/>
          <w:vertAlign w:val="subscript"/>
        </w:rPr>
        <w:t>age</w:t>
      </w:r>
      <w:r w:rsidRPr="00636F71">
        <w:t xml:space="preserve"> = 6;7 [years;months], range = 5;1 - 7;11, 59 girls, 72 boys) with data in both tasks</w:t>
      </w:r>
      <w:r w:rsidR="00A555BB" w:rsidRPr="00636F71">
        <w:t>, meeting our target sample sizes based on preregistered power analyses using PANGEA (</w:t>
      </w:r>
      <w:hyperlink r:id="rId24" w:history="1">
        <w:r w:rsidR="00A555BB" w:rsidRPr="00636F71">
          <w:rPr>
            <w:rStyle w:val="Hyperlink"/>
          </w:rPr>
          <w:t>https://jakewestfall.shinyapps.io/pangea/</w:t>
        </w:r>
      </w:hyperlink>
      <w:r w:rsidR="00A555BB" w:rsidRPr="00636F71">
        <w:t xml:space="preserve">). Sample sizes were powered to detect a correlation of ρ = .28 (α = .05, power = .90), based on prior findings </w:t>
      </w:r>
      <w:r w:rsidR="00A555BB" w:rsidRPr="00636F71">
        <w:fldChar w:fldCharType="begin"/>
      </w:r>
      <w:r w:rsidR="008D3E4C">
        <w:instrText xml:space="preserve"> ADDIN ZOTERO_ITEM CSL_CITATION {"citationID":"pX2Jmkay","properties":{"formattedCitation":"\\super 17\\nosupersub{}","plainCitation":"17","noteIndex":0},"citationItems":[{"id":83,"uris":["http://zotero.org/users/3750895/items/LZZDTY3M"],"itemData":{"id":83,"type":"article-journal","abstract":"Is metacognition a general resource shared across domains? Previous research has documented consistent biases in judgments across tasks. In contrast, there is debate regarding the domain generality or the domain specificity of the ability to discriminate between correct and incorrect answers (metacognitive sensitivity) because most previous work has documented nonsignificant correlations across domains. However, such null findings may be due to low statistical power and differences in task structure or performance, thereby masking a latent domain generality in metacognition. We examined across-domain correlations in confidence level and sensitivity in a large sample (N = 181). Participants performed 4 2-alternative forced-choice tasks (episodic memory, semantic memory, executive function, and visual perception) with trial-by-trial confidence judgments. We found significant correlations in average confidence level across tasks. By applying a hierarchical Bayesian model to estimate cross-task covariance, we found five out 6 cross-task correlations in metacognitive efficiency (meta-d'/d') were significant, even for pairs of tasks in which first-order performance was not correlated. This suggests that at least some components of metacognitive efficiency in retrospective confidence are domain general. (PsycINFO Database Record (c) 2020 APA, all rights reserved).","container-title":"Journal of Experimental Psychology: General","DOI":"10.1037/xge0000746","ISSN":"1939-2222","journalAbbreviation":"J Exp Psychol Gen","language":"eng","note":"PMID: 32191079","page":"1788-1799","source":"PubMed","title":"Is there a G factor for metacognition? Correlations in retrospective metacognitive sensitivity across tasks","title-short":"Is there a G factor for metacognition?","volume":"149","author":[{"family":"Mazancieux","given":"Audrey"},{"family":"Fleming","given":"Stephen M."},{"family":"Souchay","given":"Céline"},{"family":"Moulin","given":"Chris J. A."}],"issued":{"date-parts":[["2020",3,19]]}}}],"schema":"https://github.com/citation-style-language/schema/raw/master/csl-citation.json"} </w:instrText>
      </w:r>
      <w:r w:rsidR="00A555BB" w:rsidRPr="00636F71">
        <w:fldChar w:fldCharType="separate"/>
      </w:r>
      <w:r w:rsidR="002137B9" w:rsidRPr="00636F71">
        <w:rPr>
          <w:vertAlign w:val="superscript"/>
        </w:rPr>
        <w:t>17</w:t>
      </w:r>
      <w:r w:rsidR="00A555BB" w:rsidRPr="00636F71">
        <w:fldChar w:fldCharType="end"/>
      </w:r>
      <w:r w:rsidR="00A555BB" w:rsidRPr="00636F71">
        <w:t>.</w:t>
      </w:r>
    </w:p>
    <w:p w14:paraId="4A5F4B77" w14:textId="77777777" w:rsidR="00CC4041" w:rsidRPr="00636F71" w:rsidRDefault="00CC4041" w:rsidP="005A785C">
      <w:pPr>
        <w:pStyle w:val="Heading3"/>
        <w:spacing w:line="240" w:lineRule="auto"/>
        <w:jc w:val="both"/>
      </w:pPr>
      <w:r w:rsidRPr="00636F71">
        <w:t>Materials and Procedures</w:t>
      </w:r>
    </w:p>
    <w:p w14:paraId="44DEFE67" w14:textId="04FCF2AF" w:rsidR="00CC4041" w:rsidRPr="00636F71" w:rsidRDefault="00CC4041" w:rsidP="005A785C">
      <w:pPr>
        <w:spacing w:line="240" w:lineRule="auto"/>
        <w:jc w:val="both"/>
      </w:pPr>
      <w:r w:rsidRPr="00636F71">
        <w:t xml:space="preserve">We administered an episodic memory and a perceptual confidence task as they are well-studied in adults and easy to adapt for children </w:t>
      </w:r>
      <w:r w:rsidR="00491D80" w:rsidRPr="00636F71">
        <w:fldChar w:fldCharType="begin"/>
      </w:r>
      <w:r w:rsidR="008D3E4C">
        <w:instrText xml:space="preserve"> ADDIN ZOTERO_ITEM CSL_CITATION {"citationID":"SeNr5g2h","properties":{"formattedCitation":"\\super 16,17,38,40,51\\nosupersub{}","plainCitation":"16,17,38,40,51","noteIndex":0},"citationItems":[{"id":492,"uris":["http://zotero.org/users/3750895/items/26XWZS9Y"],"itemData":{"id":492,"type":"article-journal","abstract":"Our minds constantly evaluate the confidence in what we see, think, and remember. Previous work suggests that confidence is a domain-general currency in adulthood, unifying otherwise independent sensory and perceptual representations. Here, we test whether children also possess a domain-general sense of confidence over otherwise independent perceptual dimensions. Six- to 9-year-olds completed either three simple perceptual discrimination tasks—a number task (“Which group has more dots?”), an area task (“Which blob is bigger?”), and an emotions task (“Which face is happier?”)—or three relative confidence tasks, selecting which of two trials they are more confident on. We find that while children’s discrimination performance across the three tasks was independent and constituted three separate factors, children’s confidence in each of three dimensions was strongly correlated and constituted only a single factor. Our results suggest that confidence is a domain-general currency even in childhood, providing a mechanism by which disparate perceptual representations could be integrated.","container-title":"Open Mind: Discoveries in Cognitive Science","DOI":"10.1162/opmi_a_00020","journalAbbreviation":"Open Mind","license":"All rights reserved","page":"86-96","source":"MIT Press Journals","title":"A domain-general sense of confidence in children","volume":"2","author":[{"family":"Baer","given":"Carolyn"},{"family":"Gill","given":"Inderpreet K."},{"family":"Odic","given":"Darko"}],"issued":{"date-parts":[["2018"]]}}},{"id":475,"uris":["http://zotero.org/users/3750895/items/U36E8RI6"],"itemData":{"id":475,"type":"article-journal","abstract":"Preschoolers' ability to introspect and make decisions on the basis of these introspections has traditionally been questioned. The present research introduces a novel paradigm to examine the development of the connection between subjective uncertainty about memory and decision making in preschoolers. Three-, 4-, and 5-year-olds (N = 81) encoded items presented once or twice. They then completed a forced-choice test, provided confidence judgments for each response, and decided whether to select or exclude answers to be evaluated for the possibility of reward. Four- and 5-year-olds, but not 3-year-olds, reported lower certainty for incorrect and weaker memories than for correct and stronger memories, and they judiciously excluded their least confident memories, which resulted in accuracy gains for selected memories; these findings highlight age-related improvements in introspection on memory accuracy. Among accurate responses only, even 3-year-olds excluded their least confident answers, which suggests that the connection between uncertainty and decision making precedes the ability to monitor memory accuracy.","container-title":"Psychological Science","DOI":"10.1177/0956797614542273","ISSN":"1467-9280","journalAbbreviation":"Psychol Sci","language":"eng","note":"PMID: 25015686","page":"1768-1776","source":"PubMed","title":"Don't look at my answer: subjective uncertainty underlies preschoolers' exclusion of their least accurate memories","title-short":"Don't look at my answer","volume":"25","author":[{"family":"Hembacher","given":"Emily"},{"family":"Ghetti","given":"Simona"}],"issued":{"date-parts":[["2014"]]}}},{"id":2626,"uris":["http://zotero.org/users/3750895/items/KZ8EQDEJ"],"itemData":{"id":2626,"type":"article-journal","abstract":"Metacognition is the ability to monitor and control one’s own cognitive processes, with higher order mechanisms assessing the performance of lower level cognitive operations to determine subjective confidence. An open question is whether metacognitive capacity is domain-general, akin to a conductor overseeing various sections of an orchestra, or whether it is inherently coupled with each domain, resembling a collection of specialized musical directors for each instrument group. Previous studies attempting to address this question have suffered from methodological drawbacks, such as a lack of control over cognitive performance and low statistical power. In this confirmatory, preregistered study, we addressed this gap by testing metacognitive ability in visual perceptual, episodic memory, and semantic memory domains using a newly developed adaptive “trivia” task spanning judgments about nutrition and global economics. We found substantive correlations in metacognitive bias and efficiency across domains, even when controlling for cognitive ability, suggesting up to 15%–20% shared variance in metacognition across different modalities. Surprisingly, however, we found the lowest correlation in metacognition between the two semantic memory domains, despite these tasks being matched on performance and surface-level features. Our results broadly support the existence of a metacognitive “g-factor,” excluding several important methodological confounds, while also highlighting the importance of further research into interindividual differences in metacognitive priors which may explain the lower correlations between the different semantic memory domains. (PsycInfo Database Record (c) 2025 APA, all rights reserved)","container-title":"Journal of Experimental Psychology: Learning, Memory, and Cognition","DOI":"10.1037/xlm0001462","ISSN":"1939-1285","issue":"10","note":"publisher-place: US\npublisher: American Psychological Association","page":"1594-1605","source":"APA PsycNet","title":"Domain generality in metacognitive ability: A confirmatory study across visual perception, episodic memory, and semantic memory","title-short":"Domain generality in metacognitive ability","volume":"51","author":[{"family":"Lund","given":"Astrid Emilie"},{"family":"Corrêa","given":"Camile Maria Costa"},{"family":"Fardo","given":"Francesca"},{"family":"Fleming","given":"Stephen M."},{"family":"Allen","given":"Micah G."}],"issued":{"date-parts":[["2025"]]}}},{"id":83,"uris":["http://zotero.org/users/3750895/items/LZZDTY3M"],"itemData":{"id":83,"type":"article-journal","abstract":"Is metacognition a general resource shared across domains? Previous research has documented consistent biases in judgments across tasks. In contrast, there is debate regarding the domain generality or the domain specificity of the ability to discriminate between correct and incorrect answers (metacognitive sensitivity) because most previous work has documented nonsignificant correlations across domains. However, such null findings may be due to low statistical power and differences in task structure or performance, thereby masking a latent domain generality in metacognition. We examined across-domain correlations in confidence level and sensitivity in a large sample (N = 181). Participants performed 4 2-alternative forced-choice tasks (episodic memory, semantic memory, executive function, and visual perception) with trial-by-trial confidence judgments. We found significant correlations in average confidence level across tasks. By applying a hierarchical Bayesian model to estimate cross-task covariance, we found five out 6 cross-task correlations in metacognitive efficiency (meta-d'/d') were significant, even for pairs of tasks in which first-order performance was not correlated. This suggests that at least some components of metacognitive efficiency in retrospective confidence are domain general. (PsycINFO Database Record (c) 2020 APA, all rights reserved).","container-title":"Journal of Experimental Psychology: General","DOI":"10.1037/xge0000746","ISSN":"1939-2222","journalAbbreviation":"J Exp Psychol Gen","language":"eng","note":"PMID: 32191079","page":"1788-1799","source":"PubMed","title":"Is there a G factor for metacognition? Correlations in retrospective metacognitive sensitivity across tasks","title-short":"Is there a G factor for metacognition?","volume":"149","author":[{"family":"Mazancieux","given":"Audrey"},{"family":"Fleming","given":"Stephen M."},{"family":"Souchay","given":"Céline"},{"family":"Moulin","given":"Chris J. A."}],"issued":{"date-parts":[["2020",3,19]]}}},{"id":2087,"uris":["http://zotero.org/users/3750895/items/WANL3XHK"],"itemData":{"id":2087,"type":"article-journal","abstract":"Metacognition refers to a capacity to reflect on and control other cognitive processes, commonly quantified as the extent to which confidence tracks objective performance. There is conflicting evidence about how “local” metacognition (monitoring of individual judgments) and “global” metacognition (estimates of self-performance) change across the lifespan. Additionally, the degree to which metacognition generalises across cognitive domains may itself change with age due to increased experience with one's own abilities. Using a gamified suite of performance-controlled memory and visual perception tasks, we measured local and global metacognition in an age-stratified sample of 304 healthy volunteers (18–83 years; N = 50 in each of 6 age groups). We calculated both local and global metrics of metacognition and quantified how and whether domain-generality changes with age. First-order task performance was stable across the age range. People's global self-performance estimates and local metacognitive bias decreased with age, indicating overall lower confidence in performance. In contrast, local metacognitive efficiency was spared in older age and remained correlated across the two cognitive domains. A stability of local metacognition indicates distinct mechanisms contributing to local and global metacognition. Our study reveals how local and global metacognition change across the lifespan and provide a benchmark against which disease-related changes in metacognition can be compared.","container-title":"Cognition","DOI":"10.1016/j.cognition.2023.105389","ISSN":"0010-0277","journalAbbreviation":"Cognition","language":"en","page":"105389","source":"ScienceDirect","title":"Age-related decreases in global metacognition are independent of local metacognition and task performance","volume":"235","author":[{"family":"McWilliams","given":"Andrew"},{"family":"Bibby","given":"Hannah"},{"family":"Steinbeis","given":"Nikolaus"},{"family":"David","given":"Anthony S."},{"family":"Fleming","given":"Stephen M."}],"issued":{"date-parts":[["2023",6,1]]}}}],"schema":"https://github.com/citation-style-language/schema/raw/master/csl-citation.json"} </w:instrText>
      </w:r>
      <w:r w:rsidR="00491D80" w:rsidRPr="00636F71">
        <w:fldChar w:fldCharType="separate"/>
      </w:r>
      <w:r w:rsidR="00B42F45" w:rsidRPr="00B42F45">
        <w:rPr>
          <w:vertAlign w:val="superscript"/>
        </w:rPr>
        <w:t>16,17,38,40,51</w:t>
      </w:r>
      <w:r w:rsidR="00491D80" w:rsidRPr="00636F71">
        <w:fldChar w:fldCharType="end"/>
      </w:r>
      <w:r w:rsidRPr="00636F71">
        <w:t>. Participants completed the two tasks on a computer using MATLAB</w:t>
      </w:r>
      <w:r w:rsidR="00572DCE">
        <w:t xml:space="preserve"> (2019A)</w:t>
      </w:r>
      <w:r w:rsidRPr="00636F71">
        <w:t xml:space="preserve"> </w:t>
      </w:r>
      <w:r w:rsidR="00491D80" w:rsidRPr="00636F71">
        <w:fldChar w:fldCharType="begin"/>
      </w:r>
      <w:r w:rsidR="00572DCE">
        <w:instrText xml:space="preserve"> ADDIN ZOTERO_ITEM CSL_CITATION {"citationID":"TOxA5D5v","properties":{"formattedCitation":"\\super 52\\nosupersub{}","plainCitation":"52","noteIndex":0},"citationItems":[{"id":676,"uris":["http://zotero.org/users/3750895/items/9VBJ7LE7"],"itemData":{"id":676,"type":"software","event-place":"Natick, Massachusetts","publisher":"The Math Works Inc.","publisher-place":"Natick, Massachusetts","title":"MATLAB","version":"2019","author":[{"family":"The Math Works Inc.","given":""}],"issued":{"date-parts":[["2019"]]}}}],"schema":"https://github.com/citation-style-language/schema/raw/master/csl-citation.json"} </w:instrText>
      </w:r>
      <w:r w:rsidR="00491D80" w:rsidRPr="00636F71">
        <w:fldChar w:fldCharType="separate"/>
      </w:r>
      <w:r w:rsidR="00636F71" w:rsidRPr="00636F71">
        <w:rPr>
          <w:vertAlign w:val="superscript"/>
        </w:rPr>
        <w:t>52</w:t>
      </w:r>
      <w:r w:rsidR="00491D80" w:rsidRPr="00636F71">
        <w:fldChar w:fldCharType="end"/>
      </w:r>
      <w:r w:rsidRPr="00636F71">
        <w:t xml:space="preserve"> in a counterbalanced order. Adults entered their own responses through key presses; children’s responses were entered by an experimenter. Both tasks were designed to yield approximately equivalent accuracy at the group level.</w:t>
      </w:r>
    </w:p>
    <w:p w14:paraId="39D29E05" w14:textId="77777777" w:rsidR="00CC4041" w:rsidRPr="00636F71" w:rsidRDefault="00CC4041" w:rsidP="005A785C">
      <w:pPr>
        <w:spacing w:line="240" w:lineRule="auto"/>
        <w:jc w:val="both"/>
      </w:pPr>
      <w:r w:rsidRPr="00636F71">
        <w:rPr>
          <w:rStyle w:val="Heading4Char"/>
        </w:rPr>
        <w:t>Episodic Memory Task.</w:t>
      </w:r>
      <w:r w:rsidRPr="00636F71">
        <w:t xml:space="preserve"> Participants were shown a series of images, then were asked to recognize those images when paired with similar competitors. Trials were presented in a random order and no feedback was given about accuracy. The encoding phase immediately preceded retrieval, regardless of counterbalancing with the perceptual task.</w:t>
      </w:r>
    </w:p>
    <w:p w14:paraId="6004EF2B" w14:textId="65C6DBAF" w:rsidR="00CC4041" w:rsidRPr="00636F71" w:rsidRDefault="00CC4041" w:rsidP="005A785C">
      <w:pPr>
        <w:spacing w:line="240" w:lineRule="auto"/>
        <w:jc w:val="both"/>
      </w:pPr>
      <w:r w:rsidRPr="00636F71">
        <w:rPr>
          <w:i/>
          <w:iCs/>
        </w:rPr>
        <w:t>Adults</w:t>
      </w:r>
      <w:r w:rsidRPr="00636F71">
        <w:t xml:space="preserve">. Adults saw colour photographs of 100 test objects and 100 distractors objects in a specific state for 1000 msec at encoding (e.g., open or closed, see Figure </w:t>
      </w:r>
      <w:r w:rsidR="00347281" w:rsidRPr="00636F71">
        <w:t>2</w:t>
      </w:r>
      <w:r w:rsidRPr="00636F71">
        <w:t>), and needed to identify the correct state at test</w:t>
      </w:r>
      <w:r w:rsidR="00491D80" w:rsidRPr="00636F71">
        <w:t xml:space="preserve"> </w:t>
      </w:r>
      <w:r w:rsidR="00491D80" w:rsidRPr="00636F71">
        <w:fldChar w:fldCharType="begin"/>
      </w:r>
      <w:r w:rsidR="00636F71" w:rsidRPr="00636F71">
        <w:instrText xml:space="preserve"> ADDIN ZOTERO_ITEM CSL_CITATION {"citationID":"er8E9z2o","properties":{"formattedCitation":"\\super 53\\nosupersub{}","plainCitation":"53","noteIndex":0},"citationItems":[{"id":2567,"uris":["http://zotero.org/users/3750895/items/83AUEPLG"],"itemData":{"id":2567,"type":"article-journal","abstract":"Are real-world objects represented as bound units? Although a great deal of research has examined binding between the feature dimensions of simple shapes, little work has examined whether the featural properties of real-world objects are stored in a single unitary object representation. In a first experiment, we found that information about an object’s color is forgotten more rapidly than the information about an object’s state (e.g., open, closed), suggesting that observers do not forget objects as entirely bound units. In a second and third experiment, we examined whether state and exemplar information are forgotten separately or together. If these properties are forgotten separately, the probability of getting one feature correct should be independent of whether the other feature was correct. We found that after a short delay, observers frequently remember both state and exemplar information about the same objects, but after a longer delay, memory for the two properties becomes independent. This indicates that information about object state and exemplar are forgotten separately over time. We thus conclude that real-world objects are not represented in a single unitary representation in visual memory. (PsycINFO Database Record (c) 2016 APA, all rights reserved)","container-title":"Journal of Experimental Psychology: General","DOI":"10.1037/a0029649","ISSN":"1939-2222","issue":"3","note":"publisher-place: US\npublisher: American Psychological Association","page":"791-808","source":"APA PsycNet","title":"Real-world objects are not represented as bound units: Independent forgetting of different object details from visual memory","title-short":"Real-world objects are not represented as bound units","volume":"142","author":[{"family":"Brady","given":"Timothy F."},{"family":"Konkle","given":"Talia"},{"family":"Alvarez","given":"George A."},{"family":"Oliva","given":"Aude"}],"issued":{"date-parts":[["2013"]]}}}],"schema":"https://github.com/citation-style-language/schema/raw/master/csl-citation.json"} </w:instrText>
      </w:r>
      <w:r w:rsidR="00491D80" w:rsidRPr="00636F71">
        <w:fldChar w:fldCharType="separate"/>
      </w:r>
      <w:r w:rsidR="00636F71" w:rsidRPr="00636F71">
        <w:rPr>
          <w:vertAlign w:val="superscript"/>
        </w:rPr>
        <w:t>53</w:t>
      </w:r>
      <w:r w:rsidR="00491D80" w:rsidRPr="00636F71">
        <w:fldChar w:fldCharType="end"/>
      </w:r>
      <w:r w:rsidRPr="00636F71">
        <w:t>.</w:t>
      </w:r>
    </w:p>
    <w:p w14:paraId="38583E28" w14:textId="2A5B77D4" w:rsidR="00CC4041" w:rsidRPr="00636F71" w:rsidRDefault="00CC4041" w:rsidP="005A785C">
      <w:pPr>
        <w:spacing w:line="240" w:lineRule="auto"/>
        <w:jc w:val="both"/>
      </w:pPr>
      <w:r w:rsidRPr="00636F71">
        <w:rPr>
          <w:i/>
          <w:iCs/>
        </w:rPr>
        <w:t>Children</w:t>
      </w:r>
      <w:r w:rsidRPr="00636F71">
        <w:t>. Children saw drawings of 32 test objects, 14 distractors and 3 training images (always presented first) recoloured into either blue or yellow at encoding, and needed to identify the correct colour at test</w:t>
      </w:r>
      <w:r w:rsidR="00636F71">
        <w:t xml:space="preserve"> </w:t>
      </w:r>
      <w:r w:rsidR="00636F71">
        <w:fldChar w:fldCharType="begin"/>
      </w:r>
      <w:r w:rsidR="00636F71">
        <w:instrText xml:space="preserve"> ADDIN ZOTERO_ITEM CSL_CITATION {"citationID":"UojRFskW","properties":{"formattedCitation":"\\super 54\\nosupersub{}","plainCitation":"54","noteIndex":0},"citationItems":[{"id":460,"uris":["http://zotero.org/users/3750895/items/CIXZWFUE"],"itemData":{"id":460,"type":"article-journal","abstract":"Theories of object recognition differ to the extent that they consider object representations as being mediated only by the shape of the object, or shape and su...","container-title":"Perception","language":"en","page":"217-236","source":"journals-sagepub-com.ezproxy.library.ubc.ca","title":"Revisiting Snodgrass and Vanderwart's Object Pictorial Set: The Role of Surface Detail in Basic-Level Object Recognition - Bruno Rossion, Gilles Pourtois, 2004","title-short":"Revisiting Snodgrass and Vanderwart's Object Pictorial Set","volume":"33","author":[{"family":"Rossion","given":"Gilles"},{"family":"Poutois","given":"Bruno"}],"issued":{"date-parts":[["2004"]]}}}],"schema":"https://github.com/citation-style-language/schema/raw/master/csl-citation.json"} </w:instrText>
      </w:r>
      <w:r w:rsidR="00636F71">
        <w:fldChar w:fldCharType="separate"/>
      </w:r>
      <w:r w:rsidR="00636F71" w:rsidRPr="00636F71">
        <w:rPr>
          <w:vertAlign w:val="superscript"/>
        </w:rPr>
        <w:t>54</w:t>
      </w:r>
      <w:r w:rsidR="00636F71">
        <w:fldChar w:fldCharType="end"/>
      </w:r>
      <w:r w:rsidR="00636F71">
        <w:t xml:space="preserve"> (see Figure 2)</w:t>
      </w:r>
      <w:r w:rsidRPr="00636F71">
        <w:t>.</w:t>
      </w:r>
      <w:r w:rsidR="0039756A" w:rsidRPr="0039756A">
        <w:t xml:space="preserve"> </w:t>
      </w:r>
      <w:r w:rsidR="0039756A" w:rsidRPr="00636F71">
        <w:t xml:space="preserve">The number of trials had to be lower for children compared to adults to prevent performance declines due to fatigue. Stimuli differences were the result of piloting different stimulus sets with adults to try and achieve approximately 75% accuracy, which ensures strong levels of performance while providing enough </w:t>
      </w:r>
      <w:r w:rsidR="0039756A" w:rsidRPr="00636F71">
        <w:t>incorrect trials for performance estimates of metacognitive ability.</w:t>
      </w:r>
      <w:r w:rsidRPr="00636F71">
        <w:t xml:space="preserve"> These were presented for 2000 msec for 5-year-olds or 1500 msec for 6-7-year-olds, and we ensured that they attended the relevant information by asking children to name the object and its colour (e.g., “a blue fox”).</w:t>
      </w:r>
    </w:p>
    <w:p w14:paraId="087B5DAD" w14:textId="5552ADFD" w:rsidR="00CC4041" w:rsidRPr="00636F71" w:rsidRDefault="00CC4041" w:rsidP="005A785C">
      <w:pPr>
        <w:spacing w:line="240" w:lineRule="auto"/>
        <w:jc w:val="both"/>
      </w:pPr>
      <w:r w:rsidRPr="00636F71">
        <w:t xml:space="preserve">At retrieval, children saw the target items one at a time and identified whether they saw the yellow or blue version (see Figure </w:t>
      </w:r>
      <w:r w:rsidR="00347281" w:rsidRPr="00636F71">
        <w:t>2</w:t>
      </w:r>
      <w:r w:rsidRPr="00636F71">
        <w:t>). The 32 test trials were supplemented with 4 ‘Impossible’ trials with items they had never seen before to</w:t>
      </w:r>
      <w:r w:rsidR="007E7CDB" w:rsidRPr="00636F71">
        <w:t xml:space="preserve"> ensure some incorrect trials</w:t>
      </w:r>
      <w:r w:rsidRPr="00636F71">
        <w:t>.</w:t>
      </w:r>
    </w:p>
    <w:p w14:paraId="7FC5631A" w14:textId="5C928E9E" w:rsidR="00CC4041" w:rsidRPr="00636F71" w:rsidRDefault="00CC4041" w:rsidP="005A785C">
      <w:pPr>
        <w:spacing w:line="240" w:lineRule="auto"/>
        <w:jc w:val="both"/>
      </w:pPr>
      <w:r w:rsidRPr="00636F71">
        <w:rPr>
          <w:rStyle w:val="Heading3Char"/>
          <w:i w:val="0"/>
          <w:iCs w:val="0"/>
        </w:rPr>
        <w:t>Perception Task.</w:t>
      </w:r>
      <w:r w:rsidRPr="00636F71">
        <w:t xml:space="preserve"> Participants indicated which of two amorphous shapes was bigger (see Figure </w:t>
      </w:r>
      <w:r w:rsidR="00347281" w:rsidRPr="00636F71">
        <w:t>2</w:t>
      </w:r>
      <w:r w:rsidRPr="00636F71">
        <w:t>). Shapes always appeared on separate sides of the screen in different colours. Trials were presented in a random order and no feedback was given about accuracy.</w:t>
      </w:r>
    </w:p>
    <w:p w14:paraId="5277D18F" w14:textId="15100CB4" w:rsidR="00CC4041" w:rsidRPr="00636F71" w:rsidRDefault="00CC4041" w:rsidP="005A785C">
      <w:pPr>
        <w:spacing w:line="240" w:lineRule="auto"/>
        <w:jc w:val="both"/>
      </w:pPr>
      <w:r w:rsidRPr="00636F71">
        <w:rPr>
          <w:i/>
          <w:iCs/>
        </w:rPr>
        <w:t>Adults</w:t>
      </w:r>
      <w:r w:rsidRPr="00636F71">
        <w:t xml:space="preserve">. Adults saw 100 trials with a 1.1 ratio of pixels (e.g., 24750 vs 22500) that should lead to 85% accuracy on average, to match the expected accuracy on the memory task </w:t>
      </w:r>
      <w:r w:rsidR="00491D80" w:rsidRPr="00636F71">
        <w:fldChar w:fldCharType="begin"/>
      </w:r>
      <w:r w:rsidR="00636F71" w:rsidRPr="00636F71">
        <w:instrText xml:space="preserve"> ADDIN ZOTERO_ITEM CSL_CITATION {"citationID":"Uc1RZxyA","properties":{"formattedCitation":"\\super 53,55\\nosupersub{}","plainCitation":"53,55","noteIndex":0},"citationItems":[{"id":2567,"uris":["http://zotero.org/users/3750895/items/83AUEPLG"],"itemData":{"id":2567,"type":"article-journal","abstract":"Are real-world objects represented as bound units? Although a great deal of research has examined binding between the feature dimensions of simple shapes, little work has examined whether the featural properties of real-world objects are stored in a single unitary object representation. In a first experiment, we found that information about an object’s color is forgotten more rapidly than the information about an object’s state (e.g., open, closed), suggesting that observers do not forget objects as entirely bound units. In a second and third experiment, we examined whether state and exemplar information are forgotten separately or together. If these properties are forgotten separately, the probability of getting one feature correct should be independent of whether the other feature was correct. We found that after a short delay, observers frequently remember both state and exemplar information about the same objects, but after a longer delay, memory for the two properties becomes independent. This indicates that information about object state and exemplar are forgotten separately over time. We thus conclude that real-world objects are not represented in a single unitary representation in visual memory. (PsycINFO Database Record (c) 2016 APA, all rights reserved)","container-title":"Journal of Experimental Psychology: General","DOI":"10.1037/a0029649","ISSN":"1939-2222","issue":"3","note":"publisher-place: US\npublisher: American Psychological Association","page":"791-808","source":"APA PsycNet","title":"Real-world objects are not represented as bound units: Independent forgetting of different object details from visual memory","title-short":"Real-world objects are not represented as bound units","volume":"142","author":[{"family":"Brady","given":"Timothy F."},{"family":"Konkle","given":"Talia"},{"family":"Alvarez","given":"George A."},{"family":"Oliva","given":"Aude"}],"issued":{"date-parts":[["2013"]]}}},{"id":300,"uris":["http://zotero.org/users/3750895/items/DH7S9F87"],"itemData":{"id":300,"type":"article-journal","abstract":"Young children can quickly and intuitively represent the number of objects in a visual scene through the Approximate Number System (ANS). The precision of the ANS – indexed as the most difficult ratio of two numbers that children can reliably discriminate – is well known to improve with development: whereas infants require relatively large ratios to discriminate number, children can discriminate finer and finer changes in number between toddlerhood and early adulthood. Which factors drive the developmental improvements in ANS precision? Here, we investigate the influence of four non-numeric dimensions – area, density, line length, and time – on ANS development, exploring the degree to which the ANS develops independently from these other dimensions, from inhibitory control, and from domain-general factors such as attention and working memory that are shared between these tasks. A sample of 185 children between the ages of 2 and 12 years completed five discrimination tasks: approximate number, area, density, length, and time. We report three main findings. First, logistic growth models applied to both accuracy and Weber fractions (w; an index of ANS precision) across age reveal distinct developmental trajectories across the five dimensions: while area and length develop by adolescence, time and density do not develop fully until early adulthood, with ANS precision developing at an intermediate rate. Second, we find that ANS precision develops independently of the other four dimensions, which in turn develop independently of the ANS. Third, we find that ANS precision also develops independently from individual differences in inhibitory control (indexed as the difference in accuracy and w between Congruent and Incongruent ANS trials). Together, these results are the first to provide evidence for domain-specific improvements in ANS precision, and place children's maturing perception of number, space, and time into a broader developmental context.","container-title":"Developmental Science","DOI":"10.1111/desc.12533","ISSN":"1467-7687","journalAbbreviation":"Dev Sci","language":"en","page":"e12533","source":"Wiley Online Library","title":"Children's intuitive sense of number develops independently of their perception of area, density, length, and time","volume":"21","author":[{"family":"Odic","given":"Darko"}],"issued":{"date-parts":[["2018"]]}}}],"schema":"https://github.com/citation-style-language/schema/raw/master/csl-citation.json"} </w:instrText>
      </w:r>
      <w:r w:rsidR="00491D80" w:rsidRPr="00636F71">
        <w:fldChar w:fldCharType="separate"/>
      </w:r>
      <w:r w:rsidR="00636F71" w:rsidRPr="00636F71">
        <w:rPr>
          <w:vertAlign w:val="superscript"/>
        </w:rPr>
        <w:t>53,55</w:t>
      </w:r>
      <w:r w:rsidR="00491D80" w:rsidRPr="00636F71">
        <w:fldChar w:fldCharType="end"/>
      </w:r>
      <w:r w:rsidRPr="00636F71">
        <w:t>. Images did not disappear.</w:t>
      </w:r>
    </w:p>
    <w:p w14:paraId="59AF3131" w14:textId="1643B6DA" w:rsidR="00CC4041" w:rsidRPr="00636F71" w:rsidRDefault="00CC4041" w:rsidP="005A785C">
      <w:pPr>
        <w:spacing w:line="240" w:lineRule="auto"/>
        <w:jc w:val="both"/>
      </w:pPr>
      <w:r w:rsidRPr="00636F71">
        <w:rPr>
          <w:i/>
          <w:iCs/>
        </w:rPr>
        <w:t>Children</w:t>
      </w:r>
      <w:r w:rsidRPr="00636F71">
        <w:t xml:space="preserve">. We presented children with 4 similar ratios of pixels that should lead to 65-75% accuracy in these age groups </w:t>
      </w:r>
      <w:r w:rsidR="00491D80" w:rsidRPr="00636F71">
        <w:fldChar w:fldCharType="begin"/>
      </w:r>
      <w:r w:rsidR="00636F71" w:rsidRPr="00636F71">
        <w:instrText xml:space="preserve"> ADDIN ZOTERO_ITEM CSL_CITATION {"citationID":"jrBgHF0L","properties":{"formattedCitation":"\\super 55\\nosupersub{}","plainCitation":"55","noteIndex":0},"citationItems":[{"id":300,"uris":["http://zotero.org/users/3750895/items/DH7S9F87"],"itemData":{"id":300,"type":"article-journal","abstract":"Young children can quickly and intuitively represent the number of objects in a visual scene through the Approximate Number System (ANS). The precision of the ANS – indexed as the most difficult ratio of two numbers that children can reliably discriminate – is well known to improve with development: whereas infants require relatively large ratios to discriminate number, children can discriminate finer and finer changes in number between toddlerhood and early adulthood. Which factors drive the developmental improvements in ANS precision? Here, we investigate the influence of four non-numeric dimensions – area, density, line length, and time – on ANS development, exploring the degree to which the ANS develops independently from these other dimensions, from inhibitory control, and from domain-general factors such as attention and working memory that are shared between these tasks. A sample of 185 children between the ages of 2 and 12 years completed five discrimination tasks: approximate number, area, density, length, and time. We report three main findings. First, logistic growth models applied to both accuracy and Weber fractions (w; an index of ANS precision) across age reveal distinct developmental trajectories across the five dimensions: while area and length develop by adolescence, time and density do not develop fully until early adulthood, with ANS precision developing at an intermediate rate. Second, we find that ANS precision develops independently of the other four dimensions, which in turn develop independently of the ANS. Third, we find that ANS precision also develops independently from individual differences in inhibitory control (indexed as the difference in accuracy and w between Congruent and Incongruent ANS trials). Together, these results are the first to provide evidence for domain-specific improvements in ANS precision, and place children's maturing perception of number, space, and time into a broader developmental context.","container-title":"Developmental Science","DOI":"10.1111/desc.12533","ISSN":"1467-7687","journalAbbreviation":"Dev Sci","language":"en","page":"e12533","source":"Wiley Online Library","title":"Children's intuitive sense of number develops independently of their perception of area, density, length, and time","volume":"21","author":[{"family":"Odic","given":"Darko"}],"issued":{"date-parts":[["2018"]]}}}],"schema":"https://github.com/citation-style-language/schema/raw/master/csl-citation.json"} </w:instrText>
      </w:r>
      <w:r w:rsidR="00491D80" w:rsidRPr="00636F71">
        <w:fldChar w:fldCharType="separate"/>
      </w:r>
      <w:r w:rsidR="00636F71" w:rsidRPr="00636F71">
        <w:rPr>
          <w:vertAlign w:val="superscript"/>
        </w:rPr>
        <w:t>55</w:t>
      </w:r>
      <w:r w:rsidR="00491D80" w:rsidRPr="00636F71">
        <w:fldChar w:fldCharType="end"/>
      </w:r>
      <w:r w:rsidRPr="00636F71">
        <w:t>. For 5-year-olds, these ratios were 1.2 (e.g., 22500 vs 18750 pixels), 1.17, 1.14, and 1.1. For 6-7-year-olds, they were 1.1, 1.08, 1.05, and 1.03. The trial disappeared after 2000 msec (for 5-year-olds) or 1500 msec (for 6-7-year-olds) to encourage children to answer promptly.</w:t>
      </w:r>
      <w:r w:rsidRPr="00636F71">
        <w:rPr>
          <w:b/>
        </w:rPr>
        <w:t xml:space="preserve"> </w:t>
      </w:r>
      <w:r w:rsidRPr="00636F71">
        <w:t>As with the Memory task, there were 32 target trials supplemented by 4 ‘Impossible’ trials (where the two shapes had the same number of pixels).</w:t>
      </w:r>
    </w:p>
    <w:p w14:paraId="30FF0143" w14:textId="41E5AC50" w:rsidR="00CC4041" w:rsidRPr="00636F71" w:rsidRDefault="00CC4041" w:rsidP="005A785C">
      <w:pPr>
        <w:spacing w:line="240" w:lineRule="auto"/>
        <w:jc w:val="both"/>
      </w:pPr>
      <w:r w:rsidRPr="00636F71">
        <w:rPr>
          <w:rStyle w:val="Heading3Char"/>
          <w:i w:val="0"/>
          <w:iCs w:val="0"/>
        </w:rPr>
        <w:t>Metacognitive Judgments.</w:t>
      </w:r>
      <w:r w:rsidRPr="00636F71">
        <w:rPr>
          <w:i/>
          <w:iCs/>
        </w:rPr>
        <w:t xml:space="preserve"> </w:t>
      </w:r>
      <w:r w:rsidRPr="00636F71">
        <w:t xml:space="preserve">Following each trial of both the Memory and Perceptual tasks, participants made a metacognitive assessment of their confidence using a 3-point scale. For adults, each level of confidence was represented with a number: 1 for “not at all confident”, 2 for “somewhat confident”, and 3 for "very confident”. For children, each level of confidence was represented in the scale by an image of a gender-neutral child demonstrating a facial and body expression associated with high, moderate, and low confidence </w:t>
      </w:r>
      <w:r w:rsidR="00636F71">
        <w:fldChar w:fldCharType="begin"/>
      </w:r>
      <w:r w:rsidR="00636F71">
        <w:instrText xml:space="preserve"> ADDIN ZOTERO_ITEM CSL_CITATION {"citationID":"9OHJyVq0","properties":{"formattedCitation":"\\super 40\\nosupersub{}","plainCitation":"40","noteIndex":0},"citationItems":[{"id":475,"uris":["http://zotero.org/users/3750895/items/U36E8RI6"],"itemData":{"id":475,"type":"article-journal","abstract":"Preschoolers' ability to introspect and make decisions on the basis of these introspections has traditionally been questioned. The present research introduces a novel paradigm to examine the development of the connection between subjective uncertainty about memory and decision making in preschoolers. Three-, 4-, and 5-year-olds (N = 81) encoded items presented once or twice. They then completed a forced-choice test, provided confidence judgments for each response, and decided whether to select or exclude answers to be evaluated for the possibility of reward. Four- and 5-year-olds, but not 3-year-olds, reported lower certainty for incorrect and weaker memories than for correct and stronger memories, and they judiciously excluded their least confident memories, which resulted in accuracy gains for selected memories; these findings highlight age-related improvements in introspection on memory accuracy. Among accurate responses only, even 3-year-olds excluded their least confident answers, which suggests that the connection between uncertainty and decision making precedes the ability to monitor memory accuracy.","container-title":"Psychological Science","DOI":"10.1177/0956797614542273","ISSN":"1467-9280","journalAbbreviation":"Psychol Sci","language":"eng","note":"PMID: 25015686","page":"1768-1776","source":"PubMed","title":"Don't look at my answer: subjective uncertainty underlies preschoolers' exclusion of their least accurate memories","title-short":"Don't look at my answer","volume":"25","author":[{"family":"Hembacher","given":"Emily"},{"family":"Ghetti","given":"Simona"}],"issued":{"date-parts":[["2014"]]}}}],"schema":"https://github.com/citation-style-language/schema/raw/master/csl-citation.json"} </w:instrText>
      </w:r>
      <w:r w:rsidR="00636F71">
        <w:fldChar w:fldCharType="separate"/>
      </w:r>
      <w:r w:rsidR="00636F71" w:rsidRPr="00636F71">
        <w:rPr>
          <w:vertAlign w:val="superscript"/>
        </w:rPr>
        <w:t>40</w:t>
      </w:r>
      <w:r w:rsidR="00636F71">
        <w:fldChar w:fldCharType="end"/>
      </w:r>
      <w:r w:rsidR="00636F71">
        <w:t xml:space="preserve"> </w:t>
      </w:r>
      <w:r w:rsidRPr="00636F71">
        <w:t>(see F</w:t>
      </w:r>
      <w:r w:rsidR="00636F71">
        <w:t>igure 2)</w:t>
      </w:r>
      <w:r w:rsidRPr="00636F71">
        <w:t>.</w:t>
      </w:r>
    </w:p>
    <w:p w14:paraId="5A9FF26F" w14:textId="12E7D3FA" w:rsidR="00092C70" w:rsidRPr="00636F71" w:rsidRDefault="00CC4041" w:rsidP="005A785C">
      <w:pPr>
        <w:spacing w:line="240" w:lineRule="auto"/>
        <w:jc w:val="both"/>
      </w:pPr>
      <w:r w:rsidRPr="00636F71">
        <w:rPr>
          <w:i/>
          <w:iCs/>
        </w:rPr>
        <w:t>Training (Children only).</w:t>
      </w:r>
      <w:r w:rsidRPr="00636F71">
        <w:t xml:space="preserve"> Children completed 5 training trials immediately before completing the test </w:t>
      </w:r>
      <w:r w:rsidRPr="00636F71">
        <w:lastRenderedPageBreak/>
        <w:t>trials in both the Memory and Perceptual tasks to ensure they understood the scale. The experimenter told children to use the “really sure” face when they definitely knew the answer or didn’t have to think at all, to use the “kind-of sure” face when they maybe knew the answer or had to think about it a little bit, and the “not so sure” face when they didn’t know the answer or had to think really hard about it. Children then went through the practice trials with corrective feedback from the experimenter based on the child’s displayed confidence when answering the question (e.g., “It seemed like you were really sure about that one, so you should have picked the really sure face”</w:t>
      </w:r>
      <w:r w:rsidR="00636F71">
        <w:t xml:space="preserve">) </w:t>
      </w:r>
      <w:r w:rsidR="00636F71">
        <w:fldChar w:fldCharType="begin"/>
      </w:r>
      <w:r w:rsidR="00636F71">
        <w:instrText xml:space="preserve"> ADDIN ZOTERO_ITEM CSL_CITATION {"citationID":"lhZ69EHI","properties":{"formattedCitation":"\\super 56\\nosupersub{}","plainCitation":"56","noteIndex":0},"citationItems":[{"id":858,"uris":["http://zotero.org/users/3750895/items/EV7MJ8V4"],"itemData":{"id":858,"type":"article-journal","container-title":"Child Development","DOI":"10.1111/cdev.12004","page":"726–736","source":"Google Scholar","title":"I don't want to pick! Introspection on uncertainty supports early strategic behavior","volume":"84","author":[{"family":"Lyons","given":"Kristen E."},{"family":"Ghetti","given":"Simona"}],"issued":{"date-parts":[["2013"]]}}}],"schema":"https://github.com/citation-style-language/schema/raw/master/csl-citation.json"} </w:instrText>
      </w:r>
      <w:r w:rsidR="00636F71">
        <w:fldChar w:fldCharType="separate"/>
      </w:r>
      <w:r w:rsidR="00636F71" w:rsidRPr="00636F71">
        <w:rPr>
          <w:vertAlign w:val="superscript"/>
        </w:rPr>
        <w:t>56</w:t>
      </w:r>
      <w:r w:rsidR="00636F71">
        <w:fldChar w:fldCharType="end"/>
      </w:r>
      <w:r w:rsidRPr="00636F71">
        <w:t>. To help elicit feelings of confidence from the entire scale range, three practice trials were easy (relying on primacy effects for memory, and using a ratio of 1.5 for perception), and two were impossible.</w:t>
      </w:r>
    </w:p>
    <w:p w14:paraId="1043FBC7" w14:textId="4FBE3847" w:rsidR="00707F0F" w:rsidRPr="00636F71" w:rsidRDefault="00707F0F" w:rsidP="005A785C">
      <w:pPr>
        <w:pStyle w:val="Heading3"/>
        <w:spacing w:line="240" w:lineRule="auto"/>
        <w:jc w:val="both"/>
      </w:pPr>
      <w:r w:rsidRPr="00636F71">
        <w:t>Analyses</w:t>
      </w:r>
    </w:p>
    <w:p w14:paraId="1EB03E3D" w14:textId="5BA671A3" w:rsidR="00092C70" w:rsidRPr="00636F71" w:rsidRDefault="00092C70" w:rsidP="005A785C">
      <w:pPr>
        <w:spacing w:line="240" w:lineRule="auto"/>
        <w:jc w:val="both"/>
      </w:pPr>
      <w:bookmarkStart w:id="37" w:name="_Hlk214458900"/>
      <w:r w:rsidRPr="00636F71">
        <w:t>Individual differences in confidence judgements were measured via the</w:t>
      </w:r>
      <w:r w:rsidR="00550AD2" w:rsidRPr="00636F71">
        <w:t xml:space="preserve"> field-standard</w:t>
      </w:r>
      <w:r w:rsidRPr="00636F71">
        <w:t xml:space="preserve"> meta-d’ framework </w:t>
      </w:r>
      <w:r w:rsidRPr="00636F71">
        <w:fldChar w:fldCharType="begin"/>
      </w:r>
      <w:r w:rsidR="00636F71" w:rsidRPr="00636F71">
        <w:instrText xml:space="preserve"> ADDIN ZOTERO_ITEM CSL_CITATION {"citationID":"Y9kxBV42","properties":{"formattedCitation":"\\super 57\\nosupersub{}","plainCitation":"57","noteIndex":0},"citationItems":[{"id":295,"uris":["http://zotero.org/users/3750895/items/EZ5G8M43"],"itemData":{"id":295,"type":"article-journal","abstract":"How should we measure metacognitive (“type 2”) sensitivity, i.e. the efficacy with which observers’ confidence ratings discriminate between their own correct and incorrect stimulus classifications? We argue that currently available methods are inadequate because they are influenced by factors such as response bias and type 1 sensitivity (i.e. ability to distinguish stimuli). Extending the signal detection theory (SDT) approach of Galvin, Podd, Drga, and Whitmore (2003), we propose a method of measuring type 2 sensitivity that is free from these confounds. We call our measure meta-d′, which reflects how much information, in signal-to-noise units, is available for metacognition. Applying this novel method in a 2-interval forced choice visual task, we found that subjects’ metacognitive sensitivity was close to, but significantly below, optimality. We discuss the theoretical implications of these findings, as well as related computational issues of the method. We also provide free Matlab code for implementing the analysis.","collection-title":"Beyond the Comparator Model","container-title":"Consciousness and Cognition","DOI":"10.1016/j.concog.2011.09.021","ISSN":"1053-8100","journalAbbreviation":"Consciousness and Cognition","page":"422-430","source":"ScienceDirect","title":"A signal detection theoretic approach for estimating metacognitive sensitivity from confidence ratings","volume":"21","author":[{"family":"Maniscalco","given":"Brian"},{"family":"Lau","given":"Hakwan"}],"issued":{"date-parts":[["2012",3,1]]}}}],"schema":"https://github.com/citation-style-language/schema/raw/master/csl-citation.json"} </w:instrText>
      </w:r>
      <w:r w:rsidRPr="00636F71">
        <w:fldChar w:fldCharType="separate"/>
      </w:r>
      <w:r w:rsidR="00636F71" w:rsidRPr="00636F71">
        <w:rPr>
          <w:vertAlign w:val="superscript"/>
        </w:rPr>
        <w:t>57</w:t>
      </w:r>
      <w:r w:rsidRPr="00636F71">
        <w:fldChar w:fldCharType="end"/>
      </w:r>
      <w:r w:rsidRPr="00636F71">
        <w:t>.</w:t>
      </w:r>
      <w:bookmarkEnd w:id="37"/>
      <w:r w:rsidRPr="00636F71">
        <w:t xml:space="preserve"> </w:t>
      </w:r>
      <w:r w:rsidR="00550AD2" w:rsidRPr="00636F71">
        <w:t xml:space="preserve">Although alternative measures exist, recent reviews conclude that this framework continues to perform as well or better than other measures across most dimensions </w:t>
      </w:r>
      <w:r w:rsidR="00550AD2" w:rsidRPr="00636F71">
        <w:fldChar w:fldCharType="begin"/>
      </w:r>
      <w:r w:rsidR="00636F71" w:rsidRPr="00636F71">
        <w:instrText xml:space="preserve"> ADDIN ZOTERO_ITEM CSL_CITATION {"citationID":"mpWCQB5s","properties":{"formattedCitation":"\\super 58\\nosupersub{}","plainCitation":"58","noteIndex":0},"citationItems":[{"id":2677,"uris":["http://zotero.org/users/3750895/items/JLTE752Y"],"itemData":{"id":2677,"type":"article-journal","abstract":"One of the most important aspects of research on metacognition is the measurement of metacognitive ability. However, the properties of existing measures of metacognition have been mostly assumed rather than empirically established. Here I perform a comprehensive empirical assessment of 17 measures of metacognition. First, I develop a method of determining the validity and precision of a measure of metacognition and find that all 17 measures are valid and most show similar levels of precision. Second, I examine how measures of metacognition depend on task performance, response bias, and metacognitive bias, finding only weak dependences on response and metacognitive bias but many strong dependencies on task performance. Third, I find that all measures have very high split-half reliabilities, but most have poor test-retest reliabilities. This comprehensive assessment paints a complex picture: no measure of metacognition is perfect and different measures may be preferable in different experimental contexts.","container-title":"Nature Communications","DOI":"10.1038/s41467-025-56117-0","ISSN":"2041-1723","issue":"1","journalAbbreviation":"Nat Commun","language":"en","license":"2025 The Author(s)","note":"publisher: Nature Publishing Group","page":"701","source":"www.nature.com","title":"A comprehensive assessment of current methods for measuring metacognition","volume":"16","author":[{"family":"Rahnev","given":"Dobromir"}],"issued":{"date-parts":[["2025",1,15]]}}}],"schema":"https://github.com/citation-style-language/schema/raw/master/csl-citation.json"} </w:instrText>
      </w:r>
      <w:r w:rsidR="00550AD2" w:rsidRPr="00636F71">
        <w:fldChar w:fldCharType="separate"/>
      </w:r>
      <w:r w:rsidR="00636F71" w:rsidRPr="00636F71">
        <w:rPr>
          <w:vertAlign w:val="superscript"/>
        </w:rPr>
        <w:t>58</w:t>
      </w:r>
      <w:r w:rsidR="00550AD2" w:rsidRPr="00636F71">
        <w:fldChar w:fldCharType="end"/>
      </w:r>
      <w:r w:rsidR="00550AD2" w:rsidRPr="00636F71">
        <w:t xml:space="preserve">. </w:t>
      </w:r>
      <w:r w:rsidRPr="00636F71">
        <w:t xml:space="preserve">As extensively discussed elsewhere </w:t>
      </w:r>
      <w:r w:rsidRPr="00636F71">
        <w:fldChar w:fldCharType="begin"/>
      </w:r>
      <w:r w:rsidR="00636F71" w:rsidRPr="00636F71">
        <w:instrText xml:space="preserve"> ADDIN ZOTERO_ITEM CSL_CITATION {"citationID":"Wp1xau9L","properties":{"formattedCitation":"\\super 41,57,59\\nosupersub{}","plainCitation":"41,57,59","noteIndex":0},"citationItems":[{"id":54,"uris":["http://zotero.org/users/3750895/items/7I7MFSC4"],"itemData":{"id":54,"type":"article-journal","abstract":"Abstract.  Metacognition refers to the ability to reflect on and monitor one’s cognitive processes, such as perception, memory and decision-making. Metacognitio","container-title":"Neuroscience of Consciousness","DOI":"10.1093/nc/nix007","journalAbbreviation":"Neurosci Conscious","language":"en","page":"nix007","source":"academic.oup.com","title":"HMeta-d: hierarchical Bayesian estimation of metacognitive efficiency from confidence ratings","title-short":"HMeta-d","volume":"1","author":[{"family":"Fleming","given":"Stephen M."}],"issued":{"date-parts":[["2017",1,1]]}}},{"id":295,"uris":["http://zotero.org/users/3750895/items/EZ5G8M43"],"itemData":{"id":295,"type":"article-journal","abstract":"How should we measure metacognitive (“type 2”) sensitivity, i.e. the efficacy with which observers’ confidence ratings discriminate between their own correct and incorrect stimulus classifications? We argue that currently available methods are inadequate because they are influenced by factors such as response bias and type 1 sensitivity (i.e. ability to distinguish stimuli). Extending the signal detection theory (SDT) approach of Galvin, Podd, Drga, and Whitmore (2003), we propose a method of measuring type 2 sensitivity that is free from these confounds. We call our measure meta-d′, which reflects how much information, in signal-to-noise units, is available for metacognition. Applying this novel method in a 2-interval forced choice visual task, we found that subjects’ metacognitive sensitivity was close to, but significantly below, optimality. We discuss the theoretical implications of these findings, as well as related computational issues of the method. We also provide free Matlab code for implementing the analysis.","collection-title":"Beyond the Comparator Model","container-title":"Consciousness and Cognition","DOI":"10.1016/j.concog.2011.09.021","ISSN":"1053-8100","journalAbbreviation":"Consciousness and Cognition","page":"422-430","source":"ScienceDirect","title":"A signal detection theoretic approach for estimating metacognitive sensitivity from confidence ratings","volume":"21","author":[{"family":"Maniscalco","given":"Brian"},{"family":"Lau","given":"Hakwan"}],"issued":{"date-parts":[["2012",3,1]]}}},{"id":857,"uris":["http://zotero.org/users/3750895/items/A86ZH3CT"],"itemData":{"id":857,"type":"chapter","abstract":"Previously we have proposed a signal detection theory (SDT) methodology for measuring metacognitive sensitivity (Maniscalco and Lau, Conscious Cogn 21:422–430, 2012). Our SDT measure, meta-d′, provides a response-bias free measure of how well confidence ratings track task accuracy. Here we provide an overview of standard SDT and an extended formal treatment of meta-d′. However, whereas meta-d′ characterizes an observer’s sensitivity in tracking overall accuracy, it may sometimes be of interest to assess metacognition for a particular kind of behavioral response. For instance, in a perceptual detection task, we may wish to characterize metacognition separately for reports of stimulus presence and absence. Here we discuss the methodology for computing such a “response-specific” meta-d′ and provide corresponding Matlab code. This approach potentially offers an alternative explanation for data that are typically taken to support the unequal variance SDT (UV-SDT) model. We demonstrate that simulated data generated from UV-SDT can be well fit by an equal variance SDT model positing different metacognitive ability for each kind of behavioral response, and likewise that data generated by the latter model can be captured by UV-SDT. This ambiguity entails that caution is needed in interpreting the processes underlying relative operating characteristic (ROC) curve properties. Type 1 ROC curves generated by combining type 1 and type 2 judgments, traditionally interpreted in terms of low-level processes (UV), can potentially be interpreted in terms of high-level processes instead (response-specific metacognition). Similarly, differences in area under response-specific type 2 ROC curves may reflect the influence of low-level processes (UV) rather than high-level metacognitive processes.","container-title":"The Cognitive Neuroscience of Metacognition","ISBN":"978-3-642-45189-8","language":"en","note":"DOI: 10.1007/978-3-642-45190-4_3","page":"25-66","publisher":"Springer","source":"link.springer.com","title":"Signal Detection Theory analysis of Type 1 and Type 2 data: Meta-d′, response-specific Meta-d′, and the Unequal Variance SDT model","title-short":"Signal Detection Theory Analysis of Type 1 and Type 2 Data","URL":"https://link.springer.com/chapter/10.1007/978-3-642-45190-4_3","author":[{"family":"Maniscalco","given":"Brian"},{"family":"Lau","given":"Hakwan"}],"accessed":{"date-parts":[["2018",7,1]]},"issued":{"date-parts":[["2014"]]}}}],"schema":"https://github.com/citation-style-language/schema/raw/master/csl-citation.json"} </w:instrText>
      </w:r>
      <w:r w:rsidRPr="00636F71">
        <w:fldChar w:fldCharType="separate"/>
      </w:r>
      <w:r w:rsidR="00636F71" w:rsidRPr="00636F71">
        <w:rPr>
          <w:vertAlign w:val="superscript"/>
        </w:rPr>
        <w:t>41,57,59</w:t>
      </w:r>
      <w:r w:rsidRPr="00636F71">
        <w:fldChar w:fldCharType="end"/>
      </w:r>
      <w:r w:rsidRPr="00636F71">
        <w:t xml:space="preserve">, confidence judgments reflect 3 separate signals: metacognitive sensitivity (the ability to differentiate confidence), metacognitive bias (preference for high or low confidence), and task abilities (e.g., episodic memory and area perception). We used the standard meta-d’ toolkit </w:t>
      </w:r>
      <w:r w:rsidRPr="00636F71">
        <w:fldChar w:fldCharType="begin"/>
      </w:r>
      <w:r w:rsidR="00636F71" w:rsidRPr="00636F71">
        <w:instrText xml:space="preserve"> ADDIN ZOTERO_ITEM CSL_CITATION {"citationID":"QcQRinN0","properties":{"formattedCitation":"\\super 57\\nosupersub{}","plainCitation":"57","noteIndex":0},"citationItems":[{"id":295,"uris":["http://zotero.org/users/3750895/items/EZ5G8M43"],"itemData":{"id":295,"type":"article-journal","abstract":"How should we measure metacognitive (“type 2”) sensitivity, i.e. the efficacy with which observers’ confidence ratings discriminate between their own correct and incorrect stimulus classifications? We argue that currently available methods are inadequate because they are influenced by factors such as response bias and type 1 sensitivity (i.e. ability to distinguish stimuli). Extending the signal detection theory (SDT) approach of Galvin, Podd, Drga, and Whitmore (2003), we propose a method of measuring type 2 sensitivity that is free from these confounds. We call our measure meta-d′, which reflects how much information, in signal-to-noise units, is available for metacognition. Applying this novel method in a 2-interval forced choice visual task, we found that subjects’ metacognitive sensitivity was close to, but significantly below, optimality. We discuss the theoretical implications of these findings, as well as related computational issues of the method. We also provide free Matlab code for implementing the analysis.","collection-title":"Beyond the Comparator Model","container-title":"Consciousness and Cognition","DOI":"10.1016/j.concog.2011.09.021","ISSN":"1053-8100","journalAbbreviation":"Consciousness and Cognition","page":"422-430","source":"ScienceDirect","title":"A signal detection theoretic approach for estimating metacognitive sensitivity from confidence ratings","volume":"21","author":[{"family":"Maniscalco","given":"Brian"},{"family":"Lau","given":"Hakwan"}],"issued":{"date-parts":[["2012",3,1]]}}}],"schema":"https://github.com/citation-style-language/schema/raw/master/csl-citation.json"} </w:instrText>
      </w:r>
      <w:r w:rsidRPr="00636F71">
        <w:fldChar w:fldCharType="separate"/>
      </w:r>
      <w:r w:rsidR="00636F71" w:rsidRPr="00636F71">
        <w:rPr>
          <w:vertAlign w:val="superscript"/>
        </w:rPr>
        <w:t>57</w:t>
      </w:r>
      <w:r w:rsidRPr="00636F71">
        <w:fldChar w:fldCharType="end"/>
      </w:r>
      <w:r w:rsidRPr="00636F71">
        <w:t xml:space="preserve"> to estimate metacognitive sensitivity (meta-d’) and metacognitive efficiency (MRatio)</w:t>
      </w:r>
      <w:r w:rsidR="0039756A">
        <w:t>, applying</w:t>
      </w:r>
      <w:r w:rsidR="0039756A" w:rsidRPr="00636F71">
        <w:t xml:space="preserve"> standard edge-correction (1/6) to eliminate 0 counts which disrupt the model</w:t>
      </w:r>
      <w:r w:rsidRPr="00636F71">
        <w:t xml:space="preserve">. MRatio is a measure of how much information about the decision was available to the metacognitive system relative to how much information was involved in making the decision (e.g., task performance). MRatio is optimal at a value of 1 (all information used to make the decision was available to the metacognitive system). Below 1, the MRatio signals a loss of information from the decision to the metacognitive judgment; above 1, the MRatio signals additional information available to the metacognitive decision (e.g., realizing one made a mistake). Together, these two scores tell us how good a participants’ metacognitive abilities are without being </w:t>
      </w:r>
      <w:r w:rsidRPr="00636F71">
        <w:t xml:space="preserve">influenced by their biases to report high or low confidence, and how good these abilities are relative to their first-order performance. </w:t>
      </w:r>
      <w:bookmarkStart w:id="38" w:name="_Hlk213865920"/>
      <w:r w:rsidRPr="00636F71">
        <w:t xml:space="preserve">We estimated metacognitive bias by rescaling participants’ </w:t>
      </w:r>
      <w:r w:rsidR="00797722" w:rsidRPr="00636F71">
        <w:t xml:space="preserve">average </w:t>
      </w:r>
      <w:r w:rsidRPr="00636F71">
        <w:t>confidence answers to range from 50-100</w:t>
      </w:r>
      <w:r w:rsidR="00026622" w:rsidRPr="00636F71">
        <w:t xml:space="preserve"> to match the range of their task accuracy</w:t>
      </w:r>
      <w:r w:rsidRPr="00636F71">
        <w:t xml:space="preserve">, then subtracted their </w:t>
      </w:r>
      <w:r w:rsidR="00797722" w:rsidRPr="00636F71">
        <w:t xml:space="preserve">average </w:t>
      </w:r>
      <w:r w:rsidRPr="00636F71">
        <w:t>accuracy (thus accounting for variability in task performance).</w:t>
      </w:r>
      <w:bookmarkEnd w:id="38"/>
      <w:r w:rsidR="0039756A">
        <w:t xml:space="preserve"> </w:t>
      </w:r>
      <w:r w:rsidR="0039756A" w:rsidRPr="00636F71">
        <w:t xml:space="preserve">We also report meta-d’ analyses using the H-Meta-d’ toolkit </w:t>
      </w:r>
      <w:r w:rsidR="0039756A" w:rsidRPr="00636F71">
        <w:fldChar w:fldCharType="begin"/>
      </w:r>
      <w:r w:rsidR="008D3E4C">
        <w:instrText xml:space="preserve"> ADDIN ZOTERO_ITEM CSL_CITATION {"citationID":"WLAwzYg7","properties":{"formattedCitation":"\\super 59\\nosupersub{}","plainCitation":"59","noteIndex":0},"citationItems":[{"id":54,"uris":["http://zotero.org/users/3750895/items/7I7MFSC4"],"itemData":{"id":54,"type":"article-journal","abstract":"Abstract.  Metacognition refers to the ability to reflect on and monitor one’s cognitive processes, such as perception, memory and decision-making. Metacognitio","container-title":"Neuroscience of Consciousness","DOI":"10.1093/nc/nix007","journalAbbreviation":"Neurosci Conscious","language":"en","page":"nix007","source":"academic.oup.com","title":"HMeta-d: hierarchical Bayesian estimation of metacognitive efficiency from confidence ratings","title-short":"HMeta-d","volume":"1","author":[{"family":"Fleming","given":"Stephen M."}],"issued":{"date-parts":[["2017",1,1]]}}}],"schema":"https://github.com/citation-style-language/schema/raw/master/csl-citation.json"} </w:instrText>
      </w:r>
      <w:r w:rsidR="0039756A" w:rsidRPr="00636F71">
        <w:fldChar w:fldCharType="separate"/>
      </w:r>
      <w:r w:rsidR="0039756A" w:rsidRPr="00636F71">
        <w:rPr>
          <w:vertAlign w:val="superscript"/>
        </w:rPr>
        <w:t>59</w:t>
      </w:r>
      <w:r w:rsidR="0039756A" w:rsidRPr="00636F71">
        <w:fldChar w:fldCharType="end"/>
      </w:r>
      <w:r w:rsidR="0039756A" w:rsidRPr="00636F71">
        <w:t xml:space="preserve"> in the Supplemental </w:t>
      </w:r>
      <w:r w:rsidR="00013263">
        <w:t>Information</w:t>
      </w:r>
      <w:r w:rsidR="00912AD1">
        <w:t xml:space="preserve"> (in section ‘HMeta-d’ Modelling)</w:t>
      </w:r>
      <w:r w:rsidR="0039756A" w:rsidRPr="00636F71">
        <w:t xml:space="preserve">. We found major anomalies in the way H-Meta-d’ handled children’s data, potentially consistent with recent evidence that this framework has an increased false positive rate </w:t>
      </w:r>
      <w:r w:rsidR="0039756A" w:rsidRPr="00636F71">
        <w:fldChar w:fldCharType="begin"/>
      </w:r>
      <w:r w:rsidR="008D3E4C">
        <w:instrText xml:space="preserve"> ADDIN ZOTERO_ITEM CSL_CITATION {"citationID":"EpUkgKUz","properties":{"formattedCitation":"\\super 60\\nosupersub{}","plainCitation":"60","noteIndex":0},"citationItems":[{"id":2373,"uris":["http://zotero.org/users/3750895/items/L7I6MNIT"],"itemData":{"id":2373,"type":"article-journal","abstract":"A key aspect of metacognition is metacognitive accuracy, i.e., the degree to which confidence judgments differentiate between correct and incorrect trials. To quantify metacognitive accuracy, researchers are faced with an increasing number of different methods. The present study investigated false positive rates associated with various measures of metacognitive accuracy by hierarchical resampling from the confidence database to accurately represent the statistical properties of confidence judgements. We found that most measures based on the computation of summary-statistics separately for each participant and subsequent group-level analysis performed adequately in terms of false positive rate, including gamma correlations, meta-d′, and the area under type 2 ROC curves. Meta-d′/d′ is associated with a false positive rate even below 5%, but log-transformed meta-d′/d′ performs adequately. The false positive rate of HMeta-d depends on the study design and on prior specification: For group designs, the false positive rate is above 5% when independent priors are placed on both groups, but the false positive rate is adequate when a prior was placed on the difference between groups. For continuous predictor variables, default priors resulted in a false positive rate below 5%, but the false positive rate was not distinguishable from 5% when close-to-flat priors were used. Logistic mixed model regression analysis is associated with dramatically inflated false positive rates when random slopes are omitted from model specification. In general, we argue that no measure of metacognitive accuracy should be used unless the false positive rate has been demonstrated to be adequate.","container-title":"Metacognition and Learning","DOI":"10.1007/s11409-023-09353-y","ISSN":"1556-1631","issue":"3","journalAbbreviation":"Metacognition Learning","language":"en","page":"863-889","source":"Springer Link","title":"Evaluating false positive rates of standard and hierarchical measures of metacognitive accuracy","volume":"18","author":[{"family":"Rausch","given":"Manuel"},{"family":"Zehetleitner","given":"Michael"}],"issued":{"date-parts":[["2023",12,1]]}}}],"schema":"https://github.com/citation-style-language/schema/raw/master/csl-citation.json"} </w:instrText>
      </w:r>
      <w:r w:rsidR="0039756A" w:rsidRPr="00636F71">
        <w:fldChar w:fldCharType="separate"/>
      </w:r>
      <w:r w:rsidR="0039756A" w:rsidRPr="00636F71">
        <w:rPr>
          <w:vertAlign w:val="superscript"/>
        </w:rPr>
        <w:t>60</w:t>
      </w:r>
      <w:r w:rsidR="0039756A" w:rsidRPr="00636F71">
        <w:fldChar w:fldCharType="end"/>
      </w:r>
      <w:r w:rsidR="0039756A" w:rsidRPr="00636F71">
        <w:t>.</w:t>
      </w:r>
    </w:p>
    <w:p w14:paraId="6578BEAA" w14:textId="76E7A407" w:rsidR="00C31863" w:rsidRPr="00636F71" w:rsidRDefault="00092C70" w:rsidP="005A785C">
      <w:pPr>
        <w:spacing w:line="240" w:lineRule="auto"/>
        <w:jc w:val="both"/>
      </w:pPr>
      <w:r w:rsidRPr="00636F71">
        <w:t>The primary aim of Experiment 1 was to examine if these individual differences in confidence (meta-d’, MRatio, and bias) correlate across memory and perception decisions for adults (Experiment 1A) and children (Experiment 1B).</w:t>
      </w:r>
      <w:r w:rsidR="00C31863" w:rsidRPr="00636F71">
        <w:t xml:space="preserve"> </w:t>
      </w:r>
      <w:r w:rsidR="00057776" w:rsidRPr="00636F71">
        <w:t xml:space="preserve">Spearman correlations were used when data violated normality or where preregistered. </w:t>
      </w:r>
      <w:r w:rsidR="00C31863" w:rsidRPr="00636F71">
        <w:t>Bayes factors reported alongside correlations were conducted in JASP</w:t>
      </w:r>
      <w:r w:rsidR="00572DCE">
        <w:t xml:space="preserve"> </w:t>
      </w:r>
      <w:r w:rsidR="00572DCE" w:rsidRPr="00572DCE">
        <w:t>(0.19.2).</w:t>
      </w:r>
      <w:r w:rsidR="00C31863" w:rsidRPr="00636F71">
        <w:t xml:space="preserve"> </w:t>
      </w:r>
      <w:r w:rsidR="00C31863" w:rsidRPr="00636F71">
        <w:fldChar w:fldCharType="begin"/>
      </w:r>
      <w:r w:rsidR="00636F71" w:rsidRPr="00636F71">
        <w:instrText xml:space="preserve"> ADDIN ZOTERO_ITEM CSL_CITATION {"citationID":"L2liXz27","properties":{"formattedCitation":"\\super 61\\nosupersub{}","plainCitation":"61","noteIndex":0},"citationItems":[{"id":529,"uris":["http://zotero.org/users/3750895/items/7NBIWYNL"],"itemData":{"id":529,"type":"article-journal","abstract":"Bayesian parameter estimation and Bayesian hypothesis testing present attractive alternatives to classical inference using confidence intervals and p values. In part I of this series we outline ten prominent advantages of the Bayesian approach. Many of these advantages translate to concrete opportunities for pragmatic researchers. For instance, Bayesian hypothesis testing allows researchers to quantify evidence and monitor its progression as data come in, without needing to know the intention with which the data were collected. We end by countering several objections to Bayesian hypothesis testing. Part II of this series discusses JASP, a free and open source software program that makes it easy to conduct Bayesian estimation and testing for a range of popular statistical scenarios (Wagenmakers et al. this issue).","container-title":"Psychonomic Bulletin &amp; Review","DOI":"10.3758/s13423-017-1343-3","ISSN":"1531-5320","journalAbbreviation":"Psychon Bull Rev","language":"en","page":"35-57","source":"Springer Link","title":"Bayesian inference for psychology. Part I: Theoretical advantages and practical ramifications","title-short":"Bayesian inference for psychology. Part I","volume":"25","author":[{"family":"Wagenmakers","given":"Eric-Jan"},{"family":"Marsman","given":"Maarten"},{"family":"Jamil","given":"Tahira"},{"family":"Ly","given":"Alexander"},{"family":"Verhagen","given":"Josine"},{"family":"Love","given":"Jonathon"},{"family":"Selker","given":"Ravi"},{"family":"Gronau","given":"Quentin F."},{"family":"Šmíra","given":"Martin"},{"family":"Epskamp","given":"Sacha"},{"family":"Matzke","given":"Dora"},{"family":"Rouder","given":"Jeffrey N."},{"family":"Morey","given":"Richard D."}],"issued":{"date-parts":[["2018",2,1]]}}}],"schema":"https://github.com/citation-style-language/schema/raw/master/csl-citation.json"} </w:instrText>
      </w:r>
      <w:r w:rsidR="00C31863" w:rsidRPr="00636F71">
        <w:fldChar w:fldCharType="separate"/>
      </w:r>
      <w:r w:rsidR="00636F71" w:rsidRPr="00636F71">
        <w:rPr>
          <w:vertAlign w:val="superscript"/>
        </w:rPr>
        <w:t>61</w:t>
      </w:r>
      <w:r w:rsidR="00C31863" w:rsidRPr="00636F71">
        <w:fldChar w:fldCharType="end"/>
      </w:r>
      <w:r w:rsidR="00C31863" w:rsidRPr="00636F71">
        <w:t xml:space="preserve"> with default priors.</w:t>
      </w:r>
      <w:r w:rsidR="00057776" w:rsidRPr="00636F71">
        <w:t xml:space="preserve"> As JASP does not have Bayesian Spearman correlations, Kendall’s tau was used instead.</w:t>
      </w:r>
      <w:r w:rsidR="00C31863" w:rsidRPr="00636F71">
        <w:t xml:space="preserve"> </w:t>
      </w:r>
      <w:r w:rsidR="005E0123" w:rsidRPr="00636F71">
        <w:t xml:space="preserve">All analyses are two-tailed. </w:t>
      </w:r>
      <w:r w:rsidR="00C31863" w:rsidRPr="00636F71">
        <w:t>Our analysis plan was preregistered on OSF (</w:t>
      </w:r>
      <w:hyperlink r:id="rId25" w:history="1">
        <w:r w:rsidR="00C31863" w:rsidRPr="00636F71">
          <w:rPr>
            <w:rStyle w:val="Hyperlink"/>
          </w:rPr>
          <w:t>https://osf.io/yq73r</w:t>
        </w:r>
      </w:hyperlink>
      <w:r w:rsidR="00C31863" w:rsidRPr="00636F71">
        <w:t xml:space="preserve">, </w:t>
      </w:r>
      <w:hyperlink r:id="rId26" w:history="1">
        <w:r w:rsidR="00C31863" w:rsidRPr="00636F71">
          <w:rPr>
            <w:rStyle w:val="Hyperlink"/>
          </w:rPr>
          <w:t>https://osf.io/9gsnq</w:t>
        </w:r>
      </w:hyperlink>
      <w:r w:rsidR="00C31863" w:rsidRPr="00636F71">
        <w:t>); any additional analyses are noted as exploratory.</w:t>
      </w:r>
    </w:p>
    <w:p w14:paraId="6854F7B8" w14:textId="64377086" w:rsidR="00092C70" w:rsidRPr="00636F71" w:rsidRDefault="00092C70" w:rsidP="005A785C">
      <w:pPr>
        <w:spacing w:line="240" w:lineRule="auto"/>
        <w:jc w:val="both"/>
      </w:pPr>
    </w:p>
    <w:p w14:paraId="309F67DE" w14:textId="581C8CAE" w:rsidR="00EB7C05" w:rsidRPr="00636F71" w:rsidRDefault="00EB7C05" w:rsidP="005A785C">
      <w:pPr>
        <w:pStyle w:val="Heading2"/>
        <w:spacing w:line="240" w:lineRule="auto"/>
        <w:jc w:val="both"/>
      </w:pPr>
      <w:r w:rsidRPr="00636F71">
        <w:t>Experiments 2A (Adults) and 2B (Children)</w:t>
      </w:r>
    </w:p>
    <w:p w14:paraId="6DBF254D" w14:textId="2B5680FE" w:rsidR="00EB7C05" w:rsidRPr="00636F71" w:rsidRDefault="00EB7C05" w:rsidP="005A785C">
      <w:pPr>
        <w:pStyle w:val="Heading3"/>
        <w:spacing w:line="240" w:lineRule="auto"/>
        <w:jc w:val="both"/>
      </w:pPr>
      <w:r w:rsidRPr="00636F71">
        <w:t>Participants</w:t>
      </w:r>
    </w:p>
    <w:p w14:paraId="5906F927" w14:textId="39930C72" w:rsidR="00EB7C05" w:rsidRPr="00636F71" w:rsidRDefault="00EB7C05" w:rsidP="005A785C">
      <w:pPr>
        <w:spacing w:line="240" w:lineRule="auto"/>
        <w:jc w:val="both"/>
      </w:pPr>
      <w:r w:rsidRPr="00636F71">
        <w:t>We recruited 175 undergraduate students and 137 children aged 4-7 years from the same population as Experiments 1A and 1B. Following our preregistered plans (</w:t>
      </w:r>
      <w:hyperlink r:id="rId27" w:history="1">
        <w:r w:rsidRPr="00636F71">
          <w:rPr>
            <w:rStyle w:val="Hyperlink"/>
          </w:rPr>
          <w:t>https://osf.io/y4hdt</w:t>
        </w:r>
      </w:hyperlink>
      <w:r w:rsidRPr="00636F71">
        <w:t xml:space="preserve"> </w:t>
      </w:r>
      <w:r w:rsidR="00722CD3" w:rsidRPr="00636F71">
        <w:t xml:space="preserve">from February 2021 </w:t>
      </w:r>
      <w:r w:rsidRPr="00636F71">
        <w:t xml:space="preserve">and </w:t>
      </w:r>
      <w:hyperlink r:id="rId28" w:history="1">
        <w:r w:rsidRPr="00636F71">
          <w:rPr>
            <w:rStyle w:val="Hyperlink"/>
          </w:rPr>
          <w:t>https://osf.io/2gx3z</w:t>
        </w:r>
      </w:hyperlink>
      <w:r w:rsidR="00722CD3" w:rsidRPr="00636F71">
        <w:t xml:space="preserve"> from September 2020</w:t>
      </w:r>
      <w:r w:rsidRPr="00636F71">
        <w:t xml:space="preserve">), we excluded participants who failed to complete the entire task (3 children), who did not understand the memory or perceptual task (quantified as failing a binomial test for adults: 52 for Perception, 50 for Memory; we did not preregister this criteria for children), who heard English less than 50% of the time (1 child), or who had a parent or teacher-reported developmental disorder (1 child). Our final samples therefore included 107 adults and 132 children (M = 5;11 [years;months], range = 4;0 - 7;11, 63 </w:t>
      </w:r>
      <w:r w:rsidR="00BF60B5" w:rsidRPr="00636F71">
        <w:t>girls</w:t>
      </w:r>
      <w:r w:rsidRPr="00636F71">
        <w:t xml:space="preserve">, 69 </w:t>
      </w:r>
      <w:r w:rsidR="00BF60B5" w:rsidRPr="00636F71">
        <w:lastRenderedPageBreak/>
        <w:t>boys</w:t>
      </w:r>
      <w:r w:rsidRPr="00636F71">
        <w:t>), meeting our target sample sizes based on preregistered power analyses using PANGEA (</w:t>
      </w:r>
      <w:hyperlink r:id="rId29" w:history="1">
        <w:r w:rsidRPr="00636F71">
          <w:rPr>
            <w:rStyle w:val="Hyperlink"/>
          </w:rPr>
          <w:t>https://jakewestfall.shinyapps.io/pangea/</w:t>
        </w:r>
      </w:hyperlink>
      <w:r w:rsidRPr="00636F71">
        <w:t>).</w:t>
      </w:r>
      <w:r w:rsidR="00A555BB" w:rsidRPr="00636F71">
        <w:t xml:space="preserve"> Sample sizes were powered to detect the interaction between Accuracy and Domain for an effect size of </w:t>
      </w:r>
      <w:r w:rsidR="00A555BB" w:rsidRPr="00636F71">
        <w:sym w:font="Symbol" w:char="F068"/>
      </w:r>
      <w:r w:rsidR="00A555BB" w:rsidRPr="00636F71">
        <w:rPr>
          <w:vertAlign w:val="subscript"/>
        </w:rPr>
        <w:t>p</w:t>
      </w:r>
      <w:r w:rsidR="00A555BB" w:rsidRPr="00636F71">
        <w:rPr>
          <w:vertAlign w:val="superscript"/>
        </w:rPr>
        <w:t>2</w:t>
      </w:r>
      <w:r w:rsidR="00A555BB" w:rsidRPr="00636F71">
        <w:t xml:space="preserve"> = .01 (α = .05, power = .90).</w:t>
      </w:r>
    </w:p>
    <w:p w14:paraId="7B912282" w14:textId="77777777" w:rsidR="00EB7C05" w:rsidRPr="00636F71" w:rsidRDefault="00EB7C05" w:rsidP="005A785C">
      <w:pPr>
        <w:pStyle w:val="Heading3"/>
        <w:spacing w:line="240" w:lineRule="auto"/>
        <w:jc w:val="both"/>
      </w:pPr>
      <w:r w:rsidRPr="00636F71">
        <w:t>Materials and Procedures</w:t>
      </w:r>
    </w:p>
    <w:p w14:paraId="09E5D129" w14:textId="3EA35933" w:rsidR="00EB7C05" w:rsidRPr="00636F71" w:rsidRDefault="00572DCE" w:rsidP="005A785C">
      <w:pPr>
        <w:spacing w:line="240" w:lineRule="auto"/>
        <w:jc w:val="both"/>
      </w:pPr>
      <w:r>
        <w:t xml:space="preserve">Stimuli were presented on the computer, as in Experiment 1, through MATLAB (2019A) </w:t>
      </w:r>
      <w:r>
        <w:fldChar w:fldCharType="begin"/>
      </w:r>
      <w:r>
        <w:instrText xml:space="preserve"> ADDIN ZOTERO_ITEM CSL_CITATION {"citationID":"KjgWdJvW","properties":{"formattedCitation":"\\super 52\\nosupersub{}","plainCitation":"52","noteIndex":0},"citationItems":[{"id":676,"uris":["http://zotero.org/users/3750895/items/9VBJ7LE7"],"itemData":{"id":676,"type":"software","event-place":"Natick, Massachusetts","publisher":"The Math Works Inc.","publisher-place":"Natick, Massachusetts","title":"MATLAB","version":"2019","author":[{"family":"The Math Works Inc.","given":""}],"issued":{"date-parts":[["2019"]]}}}],"schema":"https://github.com/citation-style-language/schema/raw/master/csl-citation.json"} </w:instrText>
      </w:r>
      <w:r>
        <w:fldChar w:fldCharType="separate"/>
      </w:r>
      <w:r w:rsidRPr="00572DCE">
        <w:rPr>
          <w:vertAlign w:val="superscript"/>
        </w:rPr>
        <w:t>52</w:t>
      </w:r>
      <w:r>
        <w:fldChar w:fldCharType="end"/>
      </w:r>
      <w:r>
        <w:t xml:space="preserve"> for children and PsychoPy (2021.1)</w:t>
      </w:r>
      <w:r>
        <w:fldChar w:fldCharType="begin"/>
      </w:r>
      <w:r>
        <w:instrText xml:space="preserve"> ADDIN ZOTERO_ITEM CSL_CITATION {"citationID":"stX1HV95","properties":{"formattedCitation":"\\super 62\\nosupersub{}","plainCitation":"62","noteIndex":0},"citationItems":[{"id":2082,"uris":["http://zotero.org/users/3750895/items/C38L8QP9"],"itemData":{"id":2082,"type":"article-journal","abstract":"PsychoPy is an application for the creation of experiments in behavioral science (psychology, neuroscience, linguistics, etc.) with precise spatial control and timing of stimuli. It now provides a choice of interface; users can write scripts in Python if they choose, while those who prefer to construct experiments graphically can use the new Builder interface. Here we describe the features that have been added over the last 10 years of its development. The most notable addition has been that Builder interface, allowing users to create studies with minimal or no programming, while also allowing the insertion of Python code for maximal flexibility. We also present some of the other new features, including further stimulus options, asynchronous time-stamped hardware polling, and better support for open science and reproducibility. Tens of thousands of users now launch PsychoPy every month, and more than 90 people have contributed to the code. We discuss the current state of the project, as well as plans for the future.","container-title":"Behavior Research Methods","DOI":"10.3758/s13428-018-01193-y","ISSN":"1554-3528","issue":"1","journalAbbreviation":"Behav Res","language":"en","page":"195-203","source":"Springer Link","title":"PsychoPy2: Experiments in behavior made easy","title-short":"PsychoPy2","volume":"51","author":[{"family":"Peirce","given":"Jonathan"},{"family":"Gray","given":"Jeremy R."},{"family":"Simpson","given":"Sol"},{"family":"MacAskill","given":"Michael"},{"family":"Höchenberger","given":"Richard"},{"family":"Sogo","given":"Hiroyuki"},{"family":"Kastman","given":"Erik"},{"family":"Lindeløv","given":"Jonas Kristoffer"}],"issued":{"date-parts":[["2019",2,1]]}}}],"schema":"https://github.com/citation-style-language/schema/raw/master/csl-citation.json"} </w:instrText>
      </w:r>
      <w:r>
        <w:fldChar w:fldCharType="separate"/>
      </w:r>
      <w:r w:rsidRPr="00572DCE">
        <w:rPr>
          <w:vertAlign w:val="superscript"/>
        </w:rPr>
        <w:t>62</w:t>
      </w:r>
      <w:r>
        <w:fldChar w:fldCharType="end"/>
      </w:r>
      <w:r>
        <w:t xml:space="preserve"> for adults. </w:t>
      </w:r>
      <w:r w:rsidR="00EB7C05" w:rsidRPr="00636F71">
        <w:t xml:space="preserve">On each trial, participants saw two discrimination decisions taken from Experiment 1, one easy and one hard, presented in different spatial locations on the screen. After answering both questions, participants provided a retrospective relative confidence judgment: indicating which of the two answers they were more confident in. </w:t>
      </w:r>
      <w:bookmarkStart w:id="39" w:name="_Hlk214463945"/>
      <w:r w:rsidR="00AA6727" w:rsidRPr="00636F71">
        <w:t xml:space="preserve">Importantly, this paradigm does not dichotomize confidence into ‘high’ versus ‘low.’ Instead, it requires participants to compare two confidence </w:t>
      </w:r>
      <w:r w:rsidR="00AF76D0" w:rsidRPr="00636F71">
        <w:t>states</w:t>
      </w:r>
      <w:r w:rsidR="00AA6727" w:rsidRPr="00636F71">
        <w:t xml:space="preserve"> and select the one they believe is stronger. If confidence were represented on non-comparable scales across domains, participants would perform at chance in across-domain trials. Accurate performance therefore provides a direct test of whether confidence </w:t>
      </w:r>
      <w:r w:rsidR="00AF76D0" w:rsidRPr="00636F71">
        <w:t>states</w:t>
      </w:r>
      <w:r w:rsidR="00AA6727" w:rsidRPr="00636F71">
        <w:t xml:space="preserve"> are commensurable.</w:t>
      </w:r>
      <w:bookmarkEnd w:id="39"/>
    </w:p>
    <w:p w14:paraId="5095D627" w14:textId="28948D96" w:rsidR="00EB7C05" w:rsidRPr="00636F71" w:rsidRDefault="00EB7C05" w:rsidP="005A785C">
      <w:pPr>
        <w:spacing w:line="240" w:lineRule="auto"/>
        <w:jc w:val="both"/>
      </w:pPr>
      <w:r w:rsidRPr="00636F71">
        <w:t xml:space="preserve">Perception and Memory questions were taken directly from Experiment 1 and specifically chosen to match overall accuracy between the domains. Previous work using the Forced-Choice Confidence measure has found that children’s and adults’ ability to compare relative confidence is best when there is a large difference in accuracy between the two discrimination trials </w:t>
      </w:r>
      <w:r w:rsidR="00491D80" w:rsidRPr="00636F71">
        <w:fldChar w:fldCharType="begin"/>
      </w:r>
      <w:r w:rsidR="00636F71" w:rsidRPr="00636F71">
        <w:instrText xml:space="preserve"> ADDIN ZOTERO_ITEM CSL_CITATION {"citationID":"YcG2GNCb","properties":{"formattedCitation":"\\super 26,39\\nosupersub{}","plainCitation":"26,39","noteIndex":0},"citationItems":[{"id":468,"uris":["http://zotero.org/users/3750895/items/WT8M9XGZ"],"itemData":{"id":468,"type":"article-journal","container-title":"Cognitive Development","DOI":"10.1016/j.cogdev.2019.100817","license":"All rights reserved","page":"100817","title":"Certainty in numerical judgments develops independently of the Approximate Number System","volume":"52","author":[{"family":"Baer","given":"Carolyn"},{"family":"Odic","given":"Darko"}],"issued":{"date-parts":[["2019"]]}}},{"id":48,"uris":["http://zotero.org/users/3750895/items/4UWXAWEI"],"itemData":{"id":48,"type":"article-journal","container-title":"Psychological science","DOI":"10.1177/0956797614528956","page":"1286-1288","source":"Google Scholar","title":"Does confidence use a common currency across two visual tasks?","volume":"25","author":[{"family":"De Gardelle","given":"Vincent"},{"family":"Mamassian","given":"Pascal"}],"issued":{"date-parts":[["2014"]]}}}],"schema":"https://github.com/citation-style-language/schema/raw/master/csl-citation.json"} </w:instrText>
      </w:r>
      <w:r w:rsidR="00491D80" w:rsidRPr="00636F71">
        <w:fldChar w:fldCharType="separate"/>
      </w:r>
      <w:r w:rsidR="00636F71" w:rsidRPr="00636F71">
        <w:rPr>
          <w:vertAlign w:val="superscript"/>
        </w:rPr>
        <w:t>26,39</w:t>
      </w:r>
      <w:r w:rsidR="00491D80" w:rsidRPr="00636F71">
        <w:fldChar w:fldCharType="end"/>
      </w:r>
      <w:r w:rsidRPr="00636F71">
        <w:t xml:space="preserve">. Therefore, on half of the trials, each pair of questions had one trial designed to elicit high accuracy and one trial designed to elicit low accuracy, based on item-level analyses from Experiment 1. On the remaining half of trials, </w:t>
      </w:r>
      <w:r w:rsidRPr="00636F71">
        <w:t>questions were paired to elicit the same accuracy, as a more stringent test of whether participants can compare their confidence in the absence of potential item-level difficulty cues.</w:t>
      </w:r>
    </w:p>
    <w:p w14:paraId="1F458238" w14:textId="77777777" w:rsidR="00EB7C05" w:rsidRPr="00636F71" w:rsidRDefault="00EB7C05" w:rsidP="005A785C">
      <w:pPr>
        <w:spacing w:line="240" w:lineRule="auto"/>
        <w:ind w:firstLine="720"/>
        <w:jc w:val="both"/>
      </w:pPr>
      <w:r w:rsidRPr="00636F71">
        <w:t>The experiment began with four practice trials of the Perception task where participants were asked to select the larger of two shapes. Then, participants viewed the same Encoding trials as in Experiment 1.</w:t>
      </w:r>
    </w:p>
    <w:p w14:paraId="48A14EF9" w14:textId="58A043B0" w:rsidR="00EB7C05" w:rsidRPr="00636F71" w:rsidRDefault="00EB7C05" w:rsidP="005A785C">
      <w:pPr>
        <w:spacing w:line="240" w:lineRule="auto"/>
        <w:ind w:firstLine="720"/>
        <w:jc w:val="both"/>
      </w:pPr>
      <w:r w:rsidRPr="00636F71">
        <w:t>The main test trials had 2 phases. First, the participants answered a question on the left side of the screen, followed by a question on the right. Then, they were asked “Which of those two answers [they were] more confident they got correct” (</w:t>
      </w:r>
      <w:bookmarkStart w:id="40" w:name="_Hlk215066146"/>
      <w:r w:rsidRPr="00636F71">
        <w:t>or “Which one was your best answer? Which one are you really sure that you got right?” for children</w:t>
      </w:r>
      <w:r w:rsidR="00A803E9" w:rsidRPr="00636F71">
        <w:t>, which are both highly intuitive and do not require training</w:t>
      </w:r>
      <w:bookmarkEnd w:id="40"/>
      <w:r w:rsidRPr="00636F71">
        <w:t>). Participants were not given feedback about the accuracy of their answers, though children were given encouraging remarks periodically to keep them motivated (e.g., “You’re going so fast!”, “Alright, let’s do another one!”</w:t>
      </w:r>
      <w:r w:rsidR="00636F71">
        <w:t xml:space="preserve">) </w:t>
      </w:r>
      <w:r w:rsidR="00636F71">
        <w:fldChar w:fldCharType="begin"/>
      </w:r>
      <w:r w:rsidR="00636F71">
        <w:instrText xml:space="preserve"> ADDIN ZOTERO_ITEM CSL_CITATION {"citationID":"qCGZ3Xo6","properties":{"formattedCitation":"\\super 39\\nosupersub{}","plainCitation":"39","noteIndex":0},"citationItems":[{"id":468,"uris":["http://zotero.org/users/3750895/items/WT8M9XGZ"],"itemData":{"id":468,"type":"article-journal","container-title":"Cognitive Development","DOI":"10.1016/j.cogdev.2019.100817","license":"All rights reserved","page":"100817","title":"Certainty in numerical judgments develops independently of the Approximate Number System","volume":"52","author":[{"family":"Baer","given":"Carolyn"},{"family":"Odic","given":"Darko"}],"issued":{"date-parts":[["2019"]]}}}],"schema":"https://github.com/citation-style-language/schema/raw/master/csl-citation.json"} </w:instrText>
      </w:r>
      <w:r w:rsidR="00636F71">
        <w:fldChar w:fldCharType="separate"/>
      </w:r>
      <w:r w:rsidR="00636F71" w:rsidRPr="00636F71">
        <w:rPr>
          <w:vertAlign w:val="superscript"/>
        </w:rPr>
        <w:t>39</w:t>
      </w:r>
      <w:r w:rsidR="00636F71">
        <w:fldChar w:fldCharType="end"/>
      </w:r>
      <w:r w:rsidRPr="00636F71">
        <w:t>.</w:t>
      </w:r>
    </w:p>
    <w:p w14:paraId="16D55571" w14:textId="77777777" w:rsidR="005D51F7" w:rsidRPr="00636F71" w:rsidRDefault="00EB7C05" w:rsidP="005A785C">
      <w:pPr>
        <w:spacing w:line="240" w:lineRule="auto"/>
        <w:ind w:firstLine="720"/>
        <w:jc w:val="both"/>
      </w:pPr>
      <w:r w:rsidRPr="00636F71">
        <w:t>Adults saw 48 confidence trials: 24 Within-Domain (12 for Memory, 12 for Perception) and 24 Across-Domain (Memory vs Perception). Children saw 32 confidence trials: 16 Within-Domain and 16 Across-Domain. Trials appeared in a random order and were counterbalanced to ensure that each domain appeared equally on the left and right side.</w:t>
      </w:r>
    </w:p>
    <w:p w14:paraId="342A098A" w14:textId="12DEED60" w:rsidR="00607F8E" w:rsidRPr="00636F71" w:rsidRDefault="00607F8E" w:rsidP="005A785C">
      <w:pPr>
        <w:pStyle w:val="Heading3"/>
        <w:spacing w:line="240" w:lineRule="auto"/>
        <w:jc w:val="both"/>
      </w:pPr>
      <w:r w:rsidRPr="00636F71">
        <w:t>Analyses</w:t>
      </w:r>
    </w:p>
    <w:p w14:paraId="34ABE50C" w14:textId="3AA5747F" w:rsidR="00607F8E" w:rsidRDefault="00607F8E" w:rsidP="005A785C">
      <w:pPr>
        <w:spacing w:line="240" w:lineRule="auto"/>
        <w:jc w:val="both"/>
      </w:pPr>
      <w:r w:rsidRPr="00636F71">
        <w:t xml:space="preserve">We examined our predictions through both standard and Bayesian repeated-measures ANOVAs (using default priors in JASP), which allow us to quantify the likelihood of null effects </w:t>
      </w:r>
      <w:r w:rsidRPr="00636F71">
        <w:fldChar w:fldCharType="begin"/>
      </w:r>
      <w:r w:rsidR="00636F71" w:rsidRPr="00636F71">
        <w:instrText xml:space="preserve"> ADDIN ZOTERO_ITEM CSL_CITATION {"citationID":"XAm2HIGe","properties":{"formattedCitation":"\\super 61\\nosupersub{}","plainCitation":"61","noteIndex":0},"citationItems":[{"id":529,"uris":["http://zotero.org/users/3750895/items/7NBIWYNL"],"itemData":{"id":529,"type":"article-journal","abstract":"Bayesian parameter estimation and Bayesian hypothesis testing present attractive alternatives to classical inference using confidence intervals and p values. In part I of this series we outline ten prominent advantages of the Bayesian approach. Many of these advantages translate to concrete opportunities for pragmatic researchers. For instance, Bayesian hypothesis testing allows researchers to quantify evidence and monitor its progression as data come in, without needing to know the intention with which the data were collected. We end by countering several objections to Bayesian hypothesis testing. Part II of this series discusses JASP, a free and open source software program that makes it easy to conduct Bayesian estimation and testing for a range of popular statistical scenarios (Wagenmakers et al. this issue).","container-title":"Psychonomic Bulletin &amp; Review","DOI":"10.3758/s13423-017-1343-3","ISSN":"1531-5320","journalAbbreviation":"Psychon Bull Rev","language":"en","page":"35-57","source":"Springer Link","title":"Bayesian inference for psychology. Part I: Theoretical advantages and practical ramifications","title-short":"Bayesian inference for psychology. Part I","volume":"25","author":[{"family":"Wagenmakers","given":"Eric-Jan"},{"family":"Marsman","given":"Maarten"},{"family":"Jamil","given":"Tahira"},{"family":"Ly","given":"Alexander"},{"family":"Verhagen","given":"Josine"},{"family":"Love","given":"Jonathon"},{"family":"Selker","given":"Ravi"},{"family":"Gronau","given":"Quentin F."},{"family":"Šmíra","given":"Martin"},{"family":"Epskamp","given":"Sacha"},{"family":"Matzke","given":"Dora"},{"family":"Rouder","given":"Jeffrey N."},{"family":"Morey","given":"Richard D."}],"issued":{"date-parts":[["2018",2,1]]}}}],"schema":"https://github.com/citation-style-language/schema/raw/master/csl-citation.json"} </w:instrText>
      </w:r>
      <w:r w:rsidRPr="00636F71">
        <w:fldChar w:fldCharType="separate"/>
      </w:r>
      <w:r w:rsidR="00636F71" w:rsidRPr="00636F71">
        <w:rPr>
          <w:vertAlign w:val="superscript"/>
        </w:rPr>
        <w:t>61</w:t>
      </w:r>
      <w:r w:rsidRPr="00636F71">
        <w:fldChar w:fldCharType="end"/>
      </w:r>
      <w:r w:rsidRPr="00636F71">
        <w:t>.</w:t>
      </w:r>
      <w:r w:rsidR="00C31863" w:rsidRPr="00636F71">
        <w:t xml:space="preserve"> </w:t>
      </w:r>
      <w:r w:rsidR="00D86E2F" w:rsidRPr="00636F71">
        <w:t xml:space="preserve">All tests are two-tailed. </w:t>
      </w:r>
      <w:r w:rsidR="00C31863" w:rsidRPr="00636F71">
        <w:t>Our analysis plans were preregistered on OSF (</w:t>
      </w:r>
      <w:hyperlink r:id="rId30" w:history="1">
        <w:r w:rsidR="00C31863" w:rsidRPr="00636F71">
          <w:rPr>
            <w:rStyle w:val="Hyperlink"/>
          </w:rPr>
          <w:t>https://osf.io/y4hdt</w:t>
        </w:r>
      </w:hyperlink>
      <w:r w:rsidR="00C31863" w:rsidRPr="00636F71">
        <w:t xml:space="preserve"> and </w:t>
      </w:r>
      <w:hyperlink r:id="rId31" w:history="1">
        <w:r w:rsidR="007B5416" w:rsidRPr="00A1189A">
          <w:rPr>
            <w:rStyle w:val="Hyperlink"/>
          </w:rPr>
          <w:t>https://osf.io/2gx3z</w:t>
        </w:r>
      </w:hyperlink>
      <w:r w:rsidR="00C31863" w:rsidRPr="00636F71">
        <w:t>).</w:t>
      </w:r>
    </w:p>
    <w:p w14:paraId="1242C228" w14:textId="77777777" w:rsidR="007B5416" w:rsidRDefault="007B5416" w:rsidP="005A785C">
      <w:pPr>
        <w:pStyle w:val="Heading2"/>
        <w:spacing w:line="240" w:lineRule="auto"/>
        <w:jc w:val="both"/>
      </w:pPr>
      <w:r w:rsidRPr="00BC47D8">
        <w:t>Data Availability</w:t>
      </w:r>
    </w:p>
    <w:p w14:paraId="0FD6C8A7" w14:textId="40E3864B" w:rsidR="00B42F45" w:rsidRDefault="007B5416" w:rsidP="005A785C">
      <w:pPr>
        <w:spacing w:line="240" w:lineRule="auto"/>
        <w:jc w:val="both"/>
      </w:pPr>
      <w:r w:rsidRPr="00636F71">
        <w:t xml:space="preserve">The data used in these analyses is available on the Open Science Framework at </w:t>
      </w:r>
      <w:hyperlink r:id="rId32" w:history="1">
        <w:r w:rsidRPr="00636F71">
          <w:rPr>
            <w:rStyle w:val="Hyperlink"/>
          </w:rPr>
          <w:t>https://osf.io/hf6xj/</w:t>
        </w:r>
      </w:hyperlink>
      <w:r w:rsidRPr="00636F71">
        <w:t>.</w:t>
      </w:r>
    </w:p>
    <w:p w14:paraId="761480F4" w14:textId="77777777" w:rsidR="005A785C" w:rsidRDefault="005A785C" w:rsidP="00874189">
      <w:pPr>
        <w:spacing w:line="240" w:lineRule="auto"/>
        <w:ind w:firstLine="0"/>
        <w:sectPr w:rsidR="005A785C" w:rsidSect="005A785C">
          <w:type w:val="continuous"/>
          <w:pgSz w:w="12240" w:h="15840"/>
          <w:pgMar w:top="1440" w:right="616" w:bottom="1440" w:left="567" w:header="708" w:footer="708" w:gutter="0"/>
          <w:cols w:num="2" w:space="708"/>
          <w:docGrid w:linePitch="360"/>
        </w:sectPr>
      </w:pPr>
    </w:p>
    <w:p w14:paraId="53F094DF" w14:textId="77777777" w:rsidR="00D22101" w:rsidRDefault="00D22101" w:rsidP="00874189">
      <w:pPr>
        <w:spacing w:line="240" w:lineRule="auto"/>
        <w:ind w:firstLine="0"/>
      </w:pPr>
    </w:p>
    <w:p w14:paraId="33AF833C" w14:textId="5103B3BC" w:rsidR="00D22101" w:rsidRDefault="00D22101" w:rsidP="00B67DE2">
      <w:pPr>
        <w:spacing w:line="240" w:lineRule="auto"/>
      </w:pPr>
      <w:r>
        <w:br w:type="page"/>
      </w:r>
    </w:p>
    <w:p w14:paraId="3ADC1814" w14:textId="77777777" w:rsidR="00874189" w:rsidRDefault="00874189" w:rsidP="00B67DE2">
      <w:pPr>
        <w:pStyle w:val="Heading1"/>
        <w:spacing w:line="240" w:lineRule="auto"/>
        <w:sectPr w:rsidR="00874189" w:rsidSect="005A785C">
          <w:type w:val="continuous"/>
          <w:pgSz w:w="12240" w:h="15840"/>
          <w:pgMar w:top="1440" w:right="1440" w:bottom="1440" w:left="1440" w:header="708" w:footer="708" w:gutter="0"/>
          <w:cols w:space="708"/>
          <w:docGrid w:linePitch="360"/>
        </w:sectPr>
      </w:pPr>
    </w:p>
    <w:p w14:paraId="29587B7C" w14:textId="04084D68" w:rsidR="005D51F7" w:rsidRPr="00874189" w:rsidRDefault="005D51F7" w:rsidP="00B67DE2">
      <w:pPr>
        <w:pStyle w:val="Heading1"/>
        <w:spacing w:line="240" w:lineRule="auto"/>
        <w:rPr>
          <w:sz w:val="18"/>
          <w:szCs w:val="22"/>
        </w:rPr>
      </w:pPr>
      <w:r w:rsidRPr="00874189">
        <w:rPr>
          <w:sz w:val="18"/>
          <w:szCs w:val="22"/>
        </w:rPr>
        <w:t>References</w:t>
      </w:r>
    </w:p>
    <w:p w14:paraId="7CCF27EC" w14:textId="77777777" w:rsidR="00572DCE" w:rsidRPr="00874189" w:rsidRDefault="005D51F7" w:rsidP="00B67DE2">
      <w:pPr>
        <w:pStyle w:val="Bibliography"/>
        <w:spacing w:line="240" w:lineRule="auto"/>
        <w:rPr>
          <w:sz w:val="18"/>
          <w:szCs w:val="18"/>
        </w:rPr>
      </w:pPr>
      <w:r w:rsidRPr="00874189">
        <w:rPr>
          <w:sz w:val="18"/>
          <w:szCs w:val="18"/>
        </w:rPr>
        <w:fldChar w:fldCharType="begin"/>
      </w:r>
      <w:r w:rsidR="00572DCE" w:rsidRPr="00874189">
        <w:rPr>
          <w:sz w:val="18"/>
          <w:szCs w:val="18"/>
        </w:rPr>
        <w:instrText xml:space="preserve"> ADDIN ZOTERO_BIBL {"uncited":[],"omitted":[],"custom":[]} CSL_BIBLIOGRAPHY </w:instrText>
      </w:r>
      <w:r w:rsidRPr="00874189">
        <w:rPr>
          <w:sz w:val="18"/>
          <w:szCs w:val="18"/>
        </w:rPr>
        <w:fldChar w:fldCharType="separate"/>
      </w:r>
      <w:r w:rsidR="00572DCE" w:rsidRPr="00874189">
        <w:rPr>
          <w:sz w:val="18"/>
          <w:szCs w:val="18"/>
        </w:rPr>
        <w:t>1.</w:t>
      </w:r>
      <w:r w:rsidR="00572DCE" w:rsidRPr="00874189">
        <w:rPr>
          <w:sz w:val="18"/>
          <w:szCs w:val="18"/>
        </w:rPr>
        <w:tab/>
        <w:t xml:space="preserve">Baer, C. &amp; Kidd, C. Learning with certainty in childhood. </w:t>
      </w:r>
      <w:r w:rsidR="00572DCE" w:rsidRPr="00874189">
        <w:rPr>
          <w:i/>
          <w:iCs/>
          <w:sz w:val="18"/>
          <w:szCs w:val="18"/>
        </w:rPr>
        <w:t>Trends Cogn. Sci.</w:t>
      </w:r>
      <w:r w:rsidR="00572DCE" w:rsidRPr="00874189">
        <w:rPr>
          <w:sz w:val="18"/>
          <w:szCs w:val="18"/>
        </w:rPr>
        <w:t xml:space="preserve"> </w:t>
      </w:r>
      <w:r w:rsidR="00572DCE" w:rsidRPr="00874189">
        <w:rPr>
          <w:b/>
          <w:bCs/>
          <w:sz w:val="18"/>
          <w:szCs w:val="18"/>
        </w:rPr>
        <w:t>26</w:t>
      </w:r>
      <w:r w:rsidR="00572DCE" w:rsidRPr="00874189">
        <w:rPr>
          <w:sz w:val="18"/>
          <w:szCs w:val="18"/>
        </w:rPr>
        <w:t>, 887–896 (2022).</w:t>
      </w:r>
    </w:p>
    <w:p w14:paraId="323B7143" w14:textId="77777777" w:rsidR="00572DCE" w:rsidRPr="00874189" w:rsidRDefault="00572DCE" w:rsidP="00B67DE2">
      <w:pPr>
        <w:pStyle w:val="Bibliography"/>
        <w:spacing w:line="240" w:lineRule="auto"/>
        <w:rPr>
          <w:sz w:val="18"/>
          <w:szCs w:val="18"/>
        </w:rPr>
      </w:pPr>
      <w:r w:rsidRPr="00874189">
        <w:rPr>
          <w:sz w:val="18"/>
          <w:szCs w:val="18"/>
        </w:rPr>
        <w:t>2.</w:t>
      </w:r>
      <w:r w:rsidRPr="00874189">
        <w:rPr>
          <w:sz w:val="18"/>
          <w:szCs w:val="18"/>
        </w:rPr>
        <w:tab/>
        <w:t xml:space="preserve">Pouget, A., Drugowitsch, J. &amp; Kepecs, A. Confidence and certainty: distinct probabilistic quantities for different goals. </w:t>
      </w:r>
      <w:r w:rsidRPr="00874189">
        <w:rPr>
          <w:i/>
          <w:iCs/>
          <w:sz w:val="18"/>
          <w:szCs w:val="18"/>
        </w:rPr>
        <w:t>Nat. Neurosci.</w:t>
      </w:r>
      <w:r w:rsidRPr="00874189">
        <w:rPr>
          <w:sz w:val="18"/>
          <w:szCs w:val="18"/>
        </w:rPr>
        <w:t xml:space="preserve"> </w:t>
      </w:r>
      <w:r w:rsidRPr="00874189">
        <w:rPr>
          <w:b/>
          <w:bCs/>
          <w:sz w:val="18"/>
          <w:szCs w:val="18"/>
        </w:rPr>
        <w:t>19</w:t>
      </w:r>
      <w:r w:rsidRPr="00874189">
        <w:rPr>
          <w:sz w:val="18"/>
          <w:szCs w:val="18"/>
        </w:rPr>
        <w:t>, 366–374 (2016).</w:t>
      </w:r>
    </w:p>
    <w:p w14:paraId="2D74D9CD" w14:textId="77777777" w:rsidR="00572DCE" w:rsidRPr="00874189" w:rsidRDefault="00572DCE" w:rsidP="00B67DE2">
      <w:pPr>
        <w:pStyle w:val="Bibliography"/>
        <w:spacing w:line="240" w:lineRule="auto"/>
        <w:rPr>
          <w:sz w:val="18"/>
          <w:szCs w:val="18"/>
        </w:rPr>
      </w:pPr>
      <w:r w:rsidRPr="00874189">
        <w:rPr>
          <w:sz w:val="18"/>
          <w:szCs w:val="18"/>
        </w:rPr>
        <w:t>3.</w:t>
      </w:r>
      <w:r w:rsidRPr="00874189">
        <w:rPr>
          <w:sz w:val="18"/>
          <w:szCs w:val="18"/>
        </w:rPr>
        <w:tab/>
        <w:t xml:space="preserve">Fleming, S. M. &amp; Lau, H. C. How to measure metacognition. </w:t>
      </w:r>
      <w:r w:rsidRPr="00874189">
        <w:rPr>
          <w:i/>
          <w:iCs/>
          <w:sz w:val="18"/>
          <w:szCs w:val="18"/>
        </w:rPr>
        <w:t>Front. Hum. Neurosci.</w:t>
      </w:r>
      <w:r w:rsidRPr="00874189">
        <w:rPr>
          <w:sz w:val="18"/>
          <w:szCs w:val="18"/>
        </w:rPr>
        <w:t xml:space="preserve"> </w:t>
      </w:r>
      <w:r w:rsidRPr="00874189">
        <w:rPr>
          <w:b/>
          <w:bCs/>
          <w:sz w:val="18"/>
          <w:szCs w:val="18"/>
        </w:rPr>
        <w:t>8</w:t>
      </w:r>
      <w:r w:rsidRPr="00874189">
        <w:rPr>
          <w:sz w:val="18"/>
          <w:szCs w:val="18"/>
        </w:rPr>
        <w:t>, 443 (2014).</w:t>
      </w:r>
    </w:p>
    <w:p w14:paraId="76D46BBB" w14:textId="77777777" w:rsidR="00572DCE" w:rsidRPr="00874189" w:rsidRDefault="00572DCE" w:rsidP="00B67DE2">
      <w:pPr>
        <w:pStyle w:val="Bibliography"/>
        <w:spacing w:line="240" w:lineRule="auto"/>
        <w:rPr>
          <w:sz w:val="18"/>
          <w:szCs w:val="18"/>
        </w:rPr>
      </w:pPr>
      <w:r w:rsidRPr="00874189">
        <w:rPr>
          <w:sz w:val="18"/>
          <w:szCs w:val="18"/>
        </w:rPr>
        <w:t>4.</w:t>
      </w:r>
      <w:r w:rsidRPr="00874189">
        <w:rPr>
          <w:sz w:val="18"/>
          <w:szCs w:val="18"/>
        </w:rPr>
        <w:tab/>
        <w:t xml:space="preserve">Galvin, S. J., Podd, J. V., Drga, V. &amp; Whitmore, J. Type 2 tasks in the theory of signal detectability: Discrimination between correct and incorrect decisions. </w:t>
      </w:r>
      <w:r w:rsidRPr="00874189">
        <w:rPr>
          <w:i/>
          <w:iCs/>
          <w:sz w:val="18"/>
          <w:szCs w:val="18"/>
        </w:rPr>
        <w:t>Psychon. Bull. Rev.</w:t>
      </w:r>
      <w:r w:rsidRPr="00874189">
        <w:rPr>
          <w:sz w:val="18"/>
          <w:szCs w:val="18"/>
        </w:rPr>
        <w:t xml:space="preserve"> </w:t>
      </w:r>
      <w:r w:rsidRPr="00874189">
        <w:rPr>
          <w:b/>
          <w:bCs/>
          <w:sz w:val="18"/>
          <w:szCs w:val="18"/>
        </w:rPr>
        <w:t>10</w:t>
      </w:r>
      <w:r w:rsidRPr="00874189">
        <w:rPr>
          <w:sz w:val="18"/>
          <w:szCs w:val="18"/>
        </w:rPr>
        <w:t>, 843–876 (2003).</w:t>
      </w:r>
    </w:p>
    <w:p w14:paraId="4E35D21B" w14:textId="77777777" w:rsidR="00572DCE" w:rsidRPr="00874189" w:rsidRDefault="00572DCE" w:rsidP="00B67DE2">
      <w:pPr>
        <w:pStyle w:val="Bibliography"/>
        <w:spacing w:line="240" w:lineRule="auto"/>
        <w:rPr>
          <w:sz w:val="18"/>
          <w:szCs w:val="18"/>
        </w:rPr>
      </w:pPr>
      <w:r w:rsidRPr="00874189">
        <w:rPr>
          <w:sz w:val="18"/>
          <w:szCs w:val="18"/>
        </w:rPr>
        <w:t>5.</w:t>
      </w:r>
      <w:r w:rsidRPr="00874189">
        <w:rPr>
          <w:sz w:val="18"/>
          <w:szCs w:val="18"/>
        </w:rPr>
        <w:tab/>
        <w:t xml:space="preserve">Halberda, J. &amp; Odic, D. The precision and internal confidence of our approximate number thoughts. </w:t>
      </w:r>
      <w:r w:rsidRPr="00874189">
        <w:rPr>
          <w:i/>
          <w:iCs/>
          <w:sz w:val="18"/>
          <w:szCs w:val="18"/>
        </w:rPr>
        <w:t>Evol. Orig. Early Dev. Number Process.</w:t>
      </w:r>
      <w:r w:rsidRPr="00874189">
        <w:rPr>
          <w:sz w:val="18"/>
          <w:szCs w:val="18"/>
        </w:rPr>
        <w:t xml:space="preserve"> 305–333 (2014) doi:10.1016/B978-0-12-420133-0.00012-0.</w:t>
      </w:r>
    </w:p>
    <w:p w14:paraId="01CA2251" w14:textId="77777777" w:rsidR="00572DCE" w:rsidRPr="00874189" w:rsidRDefault="00572DCE" w:rsidP="00B67DE2">
      <w:pPr>
        <w:pStyle w:val="Bibliography"/>
        <w:spacing w:line="240" w:lineRule="auto"/>
        <w:rPr>
          <w:sz w:val="18"/>
          <w:szCs w:val="18"/>
        </w:rPr>
      </w:pPr>
      <w:r w:rsidRPr="00874189">
        <w:rPr>
          <w:sz w:val="18"/>
          <w:szCs w:val="18"/>
        </w:rPr>
        <w:lastRenderedPageBreak/>
        <w:t>6.</w:t>
      </w:r>
      <w:r w:rsidRPr="00874189">
        <w:rPr>
          <w:sz w:val="18"/>
          <w:szCs w:val="18"/>
        </w:rPr>
        <w:tab/>
        <w:t xml:space="preserve">Kiani, R. &amp; Shadlen, M. N. Representation of confidence associated with a decision by neurons in the parietal cortex. </w:t>
      </w:r>
      <w:r w:rsidRPr="00874189">
        <w:rPr>
          <w:i/>
          <w:iCs/>
          <w:sz w:val="18"/>
          <w:szCs w:val="18"/>
        </w:rPr>
        <w:t>Science</w:t>
      </w:r>
      <w:r w:rsidRPr="00874189">
        <w:rPr>
          <w:sz w:val="18"/>
          <w:szCs w:val="18"/>
        </w:rPr>
        <w:t xml:space="preserve"> </w:t>
      </w:r>
      <w:r w:rsidRPr="00874189">
        <w:rPr>
          <w:b/>
          <w:bCs/>
          <w:sz w:val="18"/>
          <w:szCs w:val="18"/>
        </w:rPr>
        <w:t>324</w:t>
      </w:r>
      <w:r w:rsidRPr="00874189">
        <w:rPr>
          <w:sz w:val="18"/>
          <w:szCs w:val="18"/>
        </w:rPr>
        <w:t>, 759–764 (2009).</w:t>
      </w:r>
    </w:p>
    <w:p w14:paraId="42931BFF" w14:textId="77777777" w:rsidR="00572DCE" w:rsidRPr="00874189" w:rsidRDefault="00572DCE" w:rsidP="00B67DE2">
      <w:pPr>
        <w:pStyle w:val="Bibliography"/>
        <w:spacing w:line="240" w:lineRule="auto"/>
        <w:rPr>
          <w:sz w:val="18"/>
          <w:szCs w:val="18"/>
        </w:rPr>
      </w:pPr>
      <w:r w:rsidRPr="00874189">
        <w:rPr>
          <w:sz w:val="18"/>
          <w:szCs w:val="18"/>
        </w:rPr>
        <w:t>7.</w:t>
      </w:r>
      <w:r w:rsidRPr="00874189">
        <w:rPr>
          <w:sz w:val="18"/>
          <w:szCs w:val="18"/>
        </w:rPr>
        <w:tab/>
        <w:t xml:space="preserve">Caziot, B. &amp; Mamassian, P. Perceptual confidence judgments reflect self-consistency. </w:t>
      </w:r>
      <w:r w:rsidRPr="00874189">
        <w:rPr>
          <w:i/>
          <w:iCs/>
          <w:sz w:val="18"/>
          <w:szCs w:val="18"/>
        </w:rPr>
        <w:t>J. Vis.</w:t>
      </w:r>
      <w:r w:rsidRPr="00874189">
        <w:rPr>
          <w:sz w:val="18"/>
          <w:szCs w:val="18"/>
        </w:rPr>
        <w:t xml:space="preserve"> </w:t>
      </w:r>
      <w:r w:rsidRPr="00874189">
        <w:rPr>
          <w:b/>
          <w:bCs/>
          <w:sz w:val="18"/>
          <w:szCs w:val="18"/>
        </w:rPr>
        <w:t>21</w:t>
      </w:r>
      <w:r w:rsidRPr="00874189">
        <w:rPr>
          <w:sz w:val="18"/>
          <w:szCs w:val="18"/>
        </w:rPr>
        <w:t>, 8 (2021).</w:t>
      </w:r>
    </w:p>
    <w:p w14:paraId="20A5E3AD" w14:textId="77777777" w:rsidR="00572DCE" w:rsidRPr="00874189" w:rsidRDefault="00572DCE" w:rsidP="00B67DE2">
      <w:pPr>
        <w:pStyle w:val="Bibliography"/>
        <w:spacing w:line="240" w:lineRule="auto"/>
        <w:rPr>
          <w:sz w:val="18"/>
          <w:szCs w:val="18"/>
        </w:rPr>
      </w:pPr>
      <w:r w:rsidRPr="00874189">
        <w:rPr>
          <w:sz w:val="18"/>
          <w:szCs w:val="18"/>
        </w:rPr>
        <w:t>8.</w:t>
      </w:r>
      <w:r w:rsidRPr="00874189">
        <w:rPr>
          <w:sz w:val="18"/>
          <w:szCs w:val="18"/>
        </w:rPr>
        <w:tab/>
        <w:t xml:space="preserve">Alais, D. &amp; Burr, D. The ventriloquist effect results from near-optimal bimodal integration. </w:t>
      </w:r>
      <w:r w:rsidRPr="00874189">
        <w:rPr>
          <w:i/>
          <w:iCs/>
          <w:sz w:val="18"/>
          <w:szCs w:val="18"/>
        </w:rPr>
        <w:t>Curr. Biol.</w:t>
      </w:r>
      <w:r w:rsidRPr="00874189">
        <w:rPr>
          <w:sz w:val="18"/>
          <w:szCs w:val="18"/>
        </w:rPr>
        <w:t xml:space="preserve"> </w:t>
      </w:r>
      <w:r w:rsidRPr="00874189">
        <w:rPr>
          <w:b/>
          <w:bCs/>
          <w:sz w:val="18"/>
          <w:szCs w:val="18"/>
        </w:rPr>
        <w:t>14</w:t>
      </w:r>
      <w:r w:rsidRPr="00874189">
        <w:rPr>
          <w:sz w:val="18"/>
          <w:szCs w:val="18"/>
        </w:rPr>
        <w:t>, 257–262 (2004).</w:t>
      </w:r>
    </w:p>
    <w:p w14:paraId="171C2CC1" w14:textId="77777777" w:rsidR="00572DCE" w:rsidRPr="00874189" w:rsidRDefault="00572DCE" w:rsidP="00B67DE2">
      <w:pPr>
        <w:pStyle w:val="Bibliography"/>
        <w:spacing w:line="240" w:lineRule="auto"/>
        <w:rPr>
          <w:sz w:val="18"/>
          <w:szCs w:val="18"/>
        </w:rPr>
      </w:pPr>
      <w:r w:rsidRPr="00874189">
        <w:rPr>
          <w:sz w:val="18"/>
          <w:szCs w:val="18"/>
        </w:rPr>
        <w:t>9.</w:t>
      </w:r>
      <w:r w:rsidRPr="00874189">
        <w:rPr>
          <w:sz w:val="18"/>
          <w:szCs w:val="18"/>
        </w:rPr>
        <w:tab/>
        <w:t xml:space="preserve">Mamassian, P. Confidence Forced-Choice and Other Metaperceptual Tasks. </w:t>
      </w:r>
      <w:r w:rsidRPr="00874189">
        <w:rPr>
          <w:i/>
          <w:iCs/>
          <w:sz w:val="18"/>
          <w:szCs w:val="18"/>
        </w:rPr>
        <w:t>Perception</w:t>
      </w:r>
      <w:r w:rsidRPr="00874189">
        <w:rPr>
          <w:sz w:val="18"/>
          <w:szCs w:val="18"/>
        </w:rPr>
        <w:t xml:space="preserve"> </w:t>
      </w:r>
      <w:r w:rsidRPr="00874189">
        <w:rPr>
          <w:b/>
          <w:bCs/>
          <w:sz w:val="18"/>
          <w:szCs w:val="18"/>
        </w:rPr>
        <w:t>49</w:t>
      </w:r>
      <w:r w:rsidRPr="00874189">
        <w:rPr>
          <w:sz w:val="18"/>
          <w:szCs w:val="18"/>
        </w:rPr>
        <w:t>, 616–635 (2020).</w:t>
      </w:r>
    </w:p>
    <w:p w14:paraId="2EEDB7D7" w14:textId="77777777" w:rsidR="00572DCE" w:rsidRPr="00874189" w:rsidRDefault="00572DCE" w:rsidP="00B67DE2">
      <w:pPr>
        <w:pStyle w:val="Bibliography"/>
        <w:spacing w:line="240" w:lineRule="auto"/>
        <w:rPr>
          <w:sz w:val="18"/>
          <w:szCs w:val="18"/>
        </w:rPr>
      </w:pPr>
      <w:r w:rsidRPr="00874189">
        <w:rPr>
          <w:sz w:val="18"/>
          <w:szCs w:val="18"/>
        </w:rPr>
        <w:t>10.</w:t>
      </w:r>
      <w:r w:rsidRPr="00874189">
        <w:rPr>
          <w:sz w:val="18"/>
          <w:szCs w:val="18"/>
        </w:rPr>
        <w:tab/>
        <w:t xml:space="preserve">Pierce, C. S. &amp; Jastrow, J. On small differences in sensation. </w:t>
      </w:r>
      <w:r w:rsidRPr="00874189">
        <w:rPr>
          <w:i/>
          <w:iCs/>
          <w:sz w:val="18"/>
          <w:szCs w:val="18"/>
        </w:rPr>
        <w:t>Mem. Natl. Acad. Sci.</w:t>
      </w:r>
      <w:r w:rsidRPr="00874189">
        <w:rPr>
          <w:sz w:val="18"/>
          <w:szCs w:val="18"/>
        </w:rPr>
        <w:t xml:space="preserve"> </w:t>
      </w:r>
      <w:r w:rsidRPr="00874189">
        <w:rPr>
          <w:b/>
          <w:bCs/>
          <w:sz w:val="18"/>
          <w:szCs w:val="18"/>
        </w:rPr>
        <w:t>3</w:t>
      </w:r>
      <w:r w:rsidRPr="00874189">
        <w:rPr>
          <w:sz w:val="18"/>
          <w:szCs w:val="18"/>
        </w:rPr>
        <w:t>, 77–83 (1884).</w:t>
      </w:r>
    </w:p>
    <w:p w14:paraId="70B270C5" w14:textId="77777777" w:rsidR="00572DCE" w:rsidRPr="00874189" w:rsidRDefault="00572DCE" w:rsidP="00B67DE2">
      <w:pPr>
        <w:pStyle w:val="Bibliography"/>
        <w:spacing w:line="240" w:lineRule="auto"/>
        <w:rPr>
          <w:sz w:val="18"/>
          <w:szCs w:val="18"/>
        </w:rPr>
      </w:pPr>
      <w:r w:rsidRPr="00874189">
        <w:rPr>
          <w:sz w:val="18"/>
          <w:szCs w:val="18"/>
        </w:rPr>
        <w:t>11.</w:t>
      </w:r>
      <w:r w:rsidRPr="00874189">
        <w:rPr>
          <w:sz w:val="18"/>
          <w:szCs w:val="18"/>
        </w:rPr>
        <w:tab/>
        <w:t xml:space="preserve">Nelson, T. O. &amp; Narens, L. Metamemory: A theoretical framework and new findings. </w:t>
      </w:r>
      <w:r w:rsidRPr="00874189">
        <w:rPr>
          <w:i/>
          <w:iCs/>
          <w:sz w:val="18"/>
          <w:szCs w:val="18"/>
        </w:rPr>
        <w:t>Psychol. Learn. Motiv.</w:t>
      </w:r>
      <w:r w:rsidRPr="00874189">
        <w:rPr>
          <w:sz w:val="18"/>
          <w:szCs w:val="18"/>
        </w:rPr>
        <w:t xml:space="preserve"> </w:t>
      </w:r>
      <w:r w:rsidRPr="00874189">
        <w:rPr>
          <w:b/>
          <w:bCs/>
          <w:sz w:val="18"/>
          <w:szCs w:val="18"/>
        </w:rPr>
        <w:t>26</w:t>
      </w:r>
      <w:r w:rsidRPr="00874189">
        <w:rPr>
          <w:sz w:val="18"/>
          <w:szCs w:val="18"/>
        </w:rPr>
        <w:t>, 125–173 (1990).</w:t>
      </w:r>
    </w:p>
    <w:p w14:paraId="089D2237" w14:textId="77777777" w:rsidR="00572DCE" w:rsidRPr="00874189" w:rsidRDefault="00572DCE" w:rsidP="00B67DE2">
      <w:pPr>
        <w:pStyle w:val="Bibliography"/>
        <w:spacing w:line="240" w:lineRule="auto"/>
        <w:rPr>
          <w:sz w:val="18"/>
          <w:szCs w:val="18"/>
        </w:rPr>
      </w:pPr>
      <w:r w:rsidRPr="00874189">
        <w:rPr>
          <w:sz w:val="18"/>
          <w:szCs w:val="18"/>
        </w:rPr>
        <w:t>12.</w:t>
      </w:r>
      <w:r w:rsidRPr="00874189">
        <w:rPr>
          <w:sz w:val="18"/>
          <w:szCs w:val="18"/>
        </w:rPr>
        <w:tab/>
        <w:t xml:space="preserve">De Martino, B., Fleming, S. M., Garrett, N. &amp; Dolan, R. J. Confidence in value-based choice. </w:t>
      </w:r>
      <w:r w:rsidRPr="00874189">
        <w:rPr>
          <w:i/>
          <w:iCs/>
          <w:sz w:val="18"/>
          <w:szCs w:val="18"/>
        </w:rPr>
        <w:t>Nat. Neurosci.</w:t>
      </w:r>
      <w:r w:rsidRPr="00874189">
        <w:rPr>
          <w:sz w:val="18"/>
          <w:szCs w:val="18"/>
        </w:rPr>
        <w:t xml:space="preserve"> </w:t>
      </w:r>
      <w:r w:rsidRPr="00874189">
        <w:rPr>
          <w:b/>
          <w:bCs/>
          <w:sz w:val="18"/>
          <w:szCs w:val="18"/>
        </w:rPr>
        <w:t>16</w:t>
      </w:r>
      <w:r w:rsidRPr="00874189">
        <w:rPr>
          <w:sz w:val="18"/>
          <w:szCs w:val="18"/>
        </w:rPr>
        <w:t>, 105–110 (2013).</w:t>
      </w:r>
    </w:p>
    <w:p w14:paraId="0F365A25" w14:textId="77777777" w:rsidR="00572DCE" w:rsidRPr="00874189" w:rsidRDefault="00572DCE" w:rsidP="00B67DE2">
      <w:pPr>
        <w:pStyle w:val="Bibliography"/>
        <w:spacing w:line="240" w:lineRule="auto"/>
        <w:rPr>
          <w:sz w:val="18"/>
          <w:szCs w:val="18"/>
        </w:rPr>
      </w:pPr>
      <w:r w:rsidRPr="00874189">
        <w:rPr>
          <w:sz w:val="18"/>
          <w:szCs w:val="18"/>
        </w:rPr>
        <w:t>13.</w:t>
      </w:r>
      <w:r w:rsidRPr="00874189">
        <w:rPr>
          <w:sz w:val="18"/>
          <w:szCs w:val="18"/>
        </w:rPr>
        <w:tab/>
        <w:t xml:space="preserve">Lehmann, M., Hagen, J. &amp; Ettinger, U. Unity and diversity of metacognition. </w:t>
      </w:r>
      <w:r w:rsidRPr="00874189">
        <w:rPr>
          <w:i/>
          <w:iCs/>
          <w:sz w:val="18"/>
          <w:szCs w:val="18"/>
        </w:rPr>
        <w:t>J. Exp. Psychol. Gen.</w:t>
      </w:r>
      <w:r w:rsidRPr="00874189">
        <w:rPr>
          <w:sz w:val="18"/>
          <w:szCs w:val="18"/>
        </w:rPr>
        <w:t xml:space="preserve"> </w:t>
      </w:r>
      <w:r w:rsidRPr="00874189">
        <w:rPr>
          <w:b/>
          <w:bCs/>
          <w:sz w:val="18"/>
          <w:szCs w:val="18"/>
        </w:rPr>
        <w:t>151</w:t>
      </w:r>
      <w:r w:rsidRPr="00874189">
        <w:rPr>
          <w:sz w:val="18"/>
          <w:szCs w:val="18"/>
        </w:rPr>
        <w:t>, 2396–2417 (2022).</w:t>
      </w:r>
    </w:p>
    <w:p w14:paraId="332CFFD4" w14:textId="77777777" w:rsidR="00572DCE" w:rsidRPr="00874189" w:rsidRDefault="00572DCE" w:rsidP="00B67DE2">
      <w:pPr>
        <w:pStyle w:val="Bibliography"/>
        <w:spacing w:line="240" w:lineRule="auto"/>
        <w:rPr>
          <w:sz w:val="18"/>
          <w:szCs w:val="18"/>
        </w:rPr>
      </w:pPr>
      <w:r w:rsidRPr="00874189">
        <w:rPr>
          <w:sz w:val="18"/>
          <w:szCs w:val="18"/>
        </w:rPr>
        <w:t>14.</w:t>
      </w:r>
      <w:r w:rsidRPr="00874189">
        <w:rPr>
          <w:sz w:val="18"/>
          <w:szCs w:val="18"/>
        </w:rPr>
        <w:tab/>
        <w:t xml:space="preserve">Mazancieux, A. </w:t>
      </w:r>
      <w:r w:rsidRPr="00874189">
        <w:rPr>
          <w:i/>
          <w:iCs/>
          <w:sz w:val="18"/>
          <w:szCs w:val="18"/>
        </w:rPr>
        <w:t>et al.</w:t>
      </w:r>
      <w:r w:rsidRPr="00874189">
        <w:rPr>
          <w:sz w:val="18"/>
          <w:szCs w:val="18"/>
        </w:rPr>
        <w:t xml:space="preserve"> Towards a common conceptual space for metacognition in perception and memory. </w:t>
      </w:r>
      <w:r w:rsidRPr="00874189">
        <w:rPr>
          <w:i/>
          <w:iCs/>
          <w:sz w:val="18"/>
          <w:szCs w:val="18"/>
        </w:rPr>
        <w:t>Nat. Rev. Psychol.</w:t>
      </w:r>
      <w:r w:rsidRPr="00874189">
        <w:rPr>
          <w:sz w:val="18"/>
          <w:szCs w:val="18"/>
        </w:rPr>
        <w:t xml:space="preserve"> 1–16 (2023) doi:10.1038/s44159-023-00245-1.</w:t>
      </w:r>
    </w:p>
    <w:p w14:paraId="605F3F4E" w14:textId="77777777" w:rsidR="00572DCE" w:rsidRPr="00874189" w:rsidRDefault="00572DCE" w:rsidP="00B67DE2">
      <w:pPr>
        <w:pStyle w:val="Bibliography"/>
        <w:spacing w:line="240" w:lineRule="auto"/>
        <w:rPr>
          <w:sz w:val="18"/>
          <w:szCs w:val="18"/>
        </w:rPr>
      </w:pPr>
      <w:r w:rsidRPr="00874189">
        <w:rPr>
          <w:sz w:val="18"/>
          <w:szCs w:val="18"/>
        </w:rPr>
        <w:t>15.</w:t>
      </w:r>
      <w:r w:rsidRPr="00874189">
        <w:rPr>
          <w:sz w:val="18"/>
          <w:szCs w:val="18"/>
        </w:rPr>
        <w:tab/>
        <w:t xml:space="preserve">Hart, J. T. Memory and the feeling-of-knowing experience. </w:t>
      </w:r>
      <w:r w:rsidRPr="00874189">
        <w:rPr>
          <w:i/>
          <w:iCs/>
          <w:sz w:val="18"/>
          <w:szCs w:val="18"/>
        </w:rPr>
        <w:t>J. Educ. Psychol.</w:t>
      </w:r>
      <w:r w:rsidRPr="00874189">
        <w:rPr>
          <w:sz w:val="18"/>
          <w:szCs w:val="18"/>
        </w:rPr>
        <w:t xml:space="preserve"> </w:t>
      </w:r>
      <w:r w:rsidRPr="00874189">
        <w:rPr>
          <w:b/>
          <w:bCs/>
          <w:sz w:val="18"/>
          <w:szCs w:val="18"/>
        </w:rPr>
        <w:t>56</w:t>
      </w:r>
      <w:r w:rsidRPr="00874189">
        <w:rPr>
          <w:sz w:val="18"/>
          <w:szCs w:val="18"/>
        </w:rPr>
        <w:t>, 208–216 (1965).</w:t>
      </w:r>
    </w:p>
    <w:p w14:paraId="410C84A1" w14:textId="77777777" w:rsidR="00572DCE" w:rsidRPr="00874189" w:rsidRDefault="00572DCE" w:rsidP="00B67DE2">
      <w:pPr>
        <w:pStyle w:val="Bibliography"/>
        <w:spacing w:line="240" w:lineRule="auto"/>
        <w:rPr>
          <w:sz w:val="18"/>
          <w:szCs w:val="18"/>
        </w:rPr>
      </w:pPr>
      <w:r w:rsidRPr="00874189">
        <w:rPr>
          <w:sz w:val="18"/>
          <w:szCs w:val="18"/>
        </w:rPr>
        <w:t>16.</w:t>
      </w:r>
      <w:r w:rsidRPr="00874189">
        <w:rPr>
          <w:sz w:val="18"/>
          <w:szCs w:val="18"/>
        </w:rPr>
        <w:tab/>
        <w:t xml:space="preserve">Lund, A. E., Corrêa, C. M. C., Fardo, F., Fleming, S. M. &amp; Allen, M. G. Domain generality in metacognitive ability: A confirmatory study across visual perception, episodic memory, and semantic memory. </w:t>
      </w:r>
      <w:r w:rsidRPr="00874189">
        <w:rPr>
          <w:i/>
          <w:iCs/>
          <w:sz w:val="18"/>
          <w:szCs w:val="18"/>
        </w:rPr>
        <w:t>J. Exp. Psychol. Learn. Mem. Cogn.</w:t>
      </w:r>
      <w:r w:rsidRPr="00874189">
        <w:rPr>
          <w:sz w:val="18"/>
          <w:szCs w:val="18"/>
        </w:rPr>
        <w:t xml:space="preserve"> </w:t>
      </w:r>
      <w:r w:rsidRPr="00874189">
        <w:rPr>
          <w:b/>
          <w:bCs/>
          <w:sz w:val="18"/>
          <w:szCs w:val="18"/>
        </w:rPr>
        <w:t>51</w:t>
      </w:r>
      <w:r w:rsidRPr="00874189">
        <w:rPr>
          <w:sz w:val="18"/>
          <w:szCs w:val="18"/>
        </w:rPr>
        <w:t>, 1594–1605 (2025).</w:t>
      </w:r>
    </w:p>
    <w:p w14:paraId="1848E08B" w14:textId="77777777" w:rsidR="00572DCE" w:rsidRPr="00874189" w:rsidRDefault="00572DCE" w:rsidP="00B67DE2">
      <w:pPr>
        <w:pStyle w:val="Bibliography"/>
        <w:spacing w:line="240" w:lineRule="auto"/>
        <w:rPr>
          <w:sz w:val="18"/>
          <w:szCs w:val="18"/>
        </w:rPr>
      </w:pPr>
      <w:r w:rsidRPr="00874189">
        <w:rPr>
          <w:sz w:val="18"/>
          <w:szCs w:val="18"/>
        </w:rPr>
        <w:t>17.</w:t>
      </w:r>
      <w:r w:rsidRPr="00874189">
        <w:rPr>
          <w:sz w:val="18"/>
          <w:szCs w:val="18"/>
        </w:rPr>
        <w:tab/>
        <w:t xml:space="preserve">Mazancieux, A., Fleming, S. M., Souchay, C. &amp; Moulin, C. J. A. Is there a G factor for metacognition? Correlations in retrospective metacognitive sensitivity across tasks. </w:t>
      </w:r>
      <w:r w:rsidRPr="00874189">
        <w:rPr>
          <w:i/>
          <w:iCs/>
          <w:sz w:val="18"/>
          <w:szCs w:val="18"/>
        </w:rPr>
        <w:t>J. Exp. Psychol. Gen.</w:t>
      </w:r>
      <w:r w:rsidRPr="00874189">
        <w:rPr>
          <w:sz w:val="18"/>
          <w:szCs w:val="18"/>
        </w:rPr>
        <w:t xml:space="preserve"> </w:t>
      </w:r>
      <w:r w:rsidRPr="00874189">
        <w:rPr>
          <w:b/>
          <w:bCs/>
          <w:sz w:val="18"/>
          <w:szCs w:val="18"/>
        </w:rPr>
        <w:t>149</w:t>
      </w:r>
      <w:r w:rsidRPr="00874189">
        <w:rPr>
          <w:sz w:val="18"/>
          <w:szCs w:val="18"/>
        </w:rPr>
        <w:t>, 1788–1799 (2020).</w:t>
      </w:r>
    </w:p>
    <w:p w14:paraId="3EDAF5FC" w14:textId="77777777" w:rsidR="00572DCE" w:rsidRPr="00874189" w:rsidRDefault="00572DCE" w:rsidP="00B67DE2">
      <w:pPr>
        <w:pStyle w:val="Bibliography"/>
        <w:spacing w:line="240" w:lineRule="auto"/>
        <w:rPr>
          <w:sz w:val="18"/>
          <w:szCs w:val="18"/>
        </w:rPr>
      </w:pPr>
      <w:r w:rsidRPr="00874189">
        <w:rPr>
          <w:sz w:val="18"/>
          <w:szCs w:val="18"/>
        </w:rPr>
        <w:t>18.</w:t>
      </w:r>
      <w:r w:rsidRPr="00874189">
        <w:rPr>
          <w:sz w:val="18"/>
          <w:szCs w:val="18"/>
        </w:rPr>
        <w:tab/>
        <w:t>Mazancieux, A., Hat, K., Rutiku, R., Wierzchoń, M. &amp; Sandberg, K. Confidence in decision making across domains and modalities: evidence from three studies. Preprint at https://doi.org/10.31219/osf.io/v6psx (2024).</w:t>
      </w:r>
    </w:p>
    <w:p w14:paraId="711B94F1" w14:textId="77777777" w:rsidR="00572DCE" w:rsidRPr="00874189" w:rsidRDefault="00572DCE" w:rsidP="00B67DE2">
      <w:pPr>
        <w:pStyle w:val="Bibliography"/>
        <w:spacing w:line="240" w:lineRule="auto"/>
        <w:rPr>
          <w:sz w:val="18"/>
          <w:szCs w:val="18"/>
        </w:rPr>
      </w:pPr>
      <w:r w:rsidRPr="00874189">
        <w:rPr>
          <w:sz w:val="18"/>
          <w:szCs w:val="18"/>
        </w:rPr>
        <w:t>19.</w:t>
      </w:r>
      <w:r w:rsidRPr="00874189">
        <w:rPr>
          <w:sz w:val="18"/>
          <w:szCs w:val="18"/>
        </w:rPr>
        <w:tab/>
        <w:t xml:space="preserve">Rouault, M., McWilliams, A., Allen, M. G. &amp; Fleming, S. M. Human metacognition across domains: insights from individual differences and neuroimaging. </w:t>
      </w:r>
      <w:r w:rsidRPr="00874189">
        <w:rPr>
          <w:i/>
          <w:iCs/>
          <w:sz w:val="18"/>
          <w:szCs w:val="18"/>
        </w:rPr>
        <w:t>Personal. Neurosci.</w:t>
      </w:r>
      <w:r w:rsidRPr="00874189">
        <w:rPr>
          <w:sz w:val="18"/>
          <w:szCs w:val="18"/>
        </w:rPr>
        <w:t xml:space="preserve"> </w:t>
      </w:r>
      <w:r w:rsidRPr="00874189">
        <w:rPr>
          <w:b/>
          <w:bCs/>
          <w:sz w:val="18"/>
          <w:szCs w:val="18"/>
        </w:rPr>
        <w:t>1</w:t>
      </w:r>
      <w:r w:rsidRPr="00874189">
        <w:rPr>
          <w:sz w:val="18"/>
          <w:szCs w:val="18"/>
        </w:rPr>
        <w:t>, e17 (2018).</w:t>
      </w:r>
    </w:p>
    <w:p w14:paraId="4A2DDDEE" w14:textId="77777777" w:rsidR="00572DCE" w:rsidRPr="00874189" w:rsidRDefault="00572DCE" w:rsidP="00B67DE2">
      <w:pPr>
        <w:pStyle w:val="Bibliography"/>
        <w:spacing w:line="240" w:lineRule="auto"/>
        <w:rPr>
          <w:sz w:val="18"/>
          <w:szCs w:val="18"/>
        </w:rPr>
      </w:pPr>
      <w:r w:rsidRPr="00874189">
        <w:rPr>
          <w:sz w:val="18"/>
          <w:szCs w:val="18"/>
        </w:rPr>
        <w:t>20.</w:t>
      </w:r>
      <w:r w:rsidRPr="00874189">
        <w:rPr>
          <w:sz w:val="18"/>
          <w:szCs w:val="18"/>
        </w:rPr>
        <w:tab/>
        <w:t xml:space="preserve">Kruger, J. &amp; Dunning, D. Unskilled and unaware of it: how difficulties in recognizing one’s own incompetence lead to inflated self-assessments. </w:t>
      </w:r>
      <w:r w:rsidRPr="00874189">
        <w:rPr>
          <w:i/>
          <w:iCs/>
          <w:sz w:val="18"/>
          <w:szCs w:val="18"/>
        </w:rPr>
        <w:t>J. Pers. Soc. Psychol.</w:t>
      </w:r>
      <w:r w:rsidRPr="00874189">
        <w:rPr>
          <w:sz w:val="18"/>
          <w:szCs w:val="18"/>
        </w:rPr>
        <w:t xml:space="preserve"> </w:t>
      </w:r>
      <w:r w:rsidRPr="00874189">
        <w:rPr>
          <w:b/>
          <w:bCs/>
          <w:sz w:val="18"/>
          <w:szCs w:val="18"/>
        </w:rPr>
        <w:t>77</w:t>
      </w:r>
      <w:r w:rsidRPr="00874189">
        <w:rPr>
          <w:sz w:val="18"/>
          <w:szCs w:val="18"/>
        </w:rPr>
        <w:t>, 1121–1134 (1999).</w:t>
      </w:r>
    </w:p>
    <w:p w14:paraId="5CA7E161" w14:textId="77777777" w:rsidR="00572DCE" w:rsidRPr="00874189" w:rsidRDefault="00572DCE" w:rsidP="00B67DE2">
      <w:pPr>
        <w:pStyle w:val="Bibliography"/>
        <w:spacing w:line="240" w:lineRule="auto"/>
        <w:rPr>
          <w:sz w:val="18"/>
          <w:szCs w:val="18"/>
        </w:rPr>
      </w:pPr>
      <w:r w:rsidRPr="00874189">
        <w:rPr>
          <w:sz w:val="18"/>
          <w:szCs w:val="18"/>
        </w:rPr>
        <w:t>21.</w:t>
      </w:r>
      <w:r w:rsidRPr="00874189">
        <w:rPr>
          <w:sz w:val="18"/>
          <w:szCs w:val="18"/>
        </w:rPr>
        <w:tab/>
        <w:t xml:space="preserve">Song, C. </w:t>
      </w:r>
      <w:r w:rsidRPr="00874189">
        <w:rPr>
          <w:i/>
          <w:iCs/>
          <w:sz w:val="18"/>
          <w:szCs w:val="18"/>
        </w:rPr>
        <w:t>et al.</w:t>
      </w:r>
      <w:r w:rsidRPr="00874189">
        <w:rPr>
          <w:sz w:val="18"/>
          <w:szCs w:val="18"/>
        </w:rPr>
        <w:t xml:space="preserve"> Relating inter-individual differences in metacognitive performance on different perceptual tasks. </w:t>
      </w:r>
      <w:r w:rsidRPr="00874189">
        <w:rPr>
          <w:i/>
          <w:iCs/>
          <w:sz w:val="18"/>
          <w:szCs w:val="18"/>
        </w:rPr>
        <w:t>Conscious. Cogn.</w:t>
      </w:r>
      <w:r w:rsidRPr="00874189">
        <w:rPr>
          <w:sz w:val="18"/>
          <w:szCs w:val="18"/>
        </w:rPr>
        <w:t xml:space="preserve"> </w:t>
      </w:r>
      <w:r w:rsidRPr="00874189">
        <w:rPr>
          <w:b/>
          <w:bCs/>
          <w:sz w:val="18"/>
          <w:szCs w:val="18"/>
        </w:rPr>
        <w:t>20</w:t>
      </w:r>
      <w:r w:rsidRPr="00874189">
        <w:rPr>
          <w:sz w:val="18"/>
          <w:szCs w:val="18"/>
        </w:rPr>
        <w:t>, 1787–1792 (2011).</w:t>
      </w:r>
    </w:p>
    <w:p w14:paraId="2F7E31FD" w14:textId="77777777" w:rsidR="00572DCE" w:rsidRPr="00874189" w:rsidRDefault="00572DCE" w:rsidP="00B67DE2">
      <w:pPr>
        <w:pStyle w:val="Bibliography"/>
        <w:spacing w:line="240" w:lineRule="auto"/>
        <w:rPr>
          <w:sz w:val="18"/>
          <w:szCs w:val="18"/>
        </w:rPr>
      </w:pPr>
      <w:r w:rsidRPr="00874189">
        <w:rPr>
          <w:sz w:val="18"/>
          <w:szCs w:val="18"/>
        </w:rPr>
        <w:t>22.</w:t>
      </w:r>
      <w:r w:rsidRPr="00874189">
        <w:rPr>
          <w:sz w:val="18"/>
          <w:szCs w:val="18"/>
        </w:rPr>
        <w:tab/>
        <w:t xml:space="preserve">van Loon, M., Orth, U. &amp; Roebers, C. The structure of metacognition in middle childhood: Evidence for a unitary metacognition-for-memory factor. </w:t>
      </w:r>
      <w:r w:rsidRPr="00874189">
        <w:rPr>
          <w:i/>
          <w:iCs/>
          <w:sz w:val="18"/>
          <w:szCs w:val="18"/>
        </w:rPr>
        <w:t>J. Exp. Child Psychol.</w:t>
      </w:r>
      <w:r w:rsidRPr="00874189">
        <w:rPr>
          <w:sz w:val="18"/>
          <w:szCs w:val="18"/>
        </w:rPr>
        <w:t xml:space="preserve"> </w:t>
      </w:r>
      <w:r w:rsidRPr="00874189">
        <w:rPr>
          <w:b/>
          <w:bCs/>
          <w:sz w:val="18"/>
          <w:szCs w:val="18"/>
        </w:rPr>
        <w:t>241</w:t>
      </w:r>
      <w:r w:rsidRPr="00874189">
        <w:rPr>
          <w:sz w:val="18"/>
          <w:szCs w:val="18"/>
        </w:rPr>
        <w:t>, 105857 (2024).</w:t>
      </w:r>
    </w:p>
    <w:p w14:paraId="17507208" w14:textId="77777777" w:rsidR="00572DCE" w:rsidRPr="00874189" w:rsidRDefault="00572DCE" w:rsidP="00B67DE2">
      <w:pPr>
        <w:pStyle w:val="Bibliography"/>
        <w:spacing w:line="240" w:lineRule="auto"/>
        <w:rPr>
          <w:sz w:val="18"/>
          <w:szCs w:val="18"/>
        </w:rPr>
      </w:pPr>
      <w:r w:rsidRPr="00874189">
        <w:rPr>
          <w:sz w:val="18"/>
          <w:szCs w:val="18"/>
        </w:rPr>
        <w:t>23.</w:t>
      </w:r>
      <w:r w:rsidRPr="00874189">
        <w:rPr>
          <w:sz w:val="18"/>
          <w:szCs w:val="18"/>
        </w:rPr>
        <w:tab/>
        <w:t xml:space="preserve">Fleming, S. M., Ryu, J., Golfinos, J. G. &amp; Blackmon, K. E. Domain-specific impairment in metacognitive </w:t>
      </w:r>
      <w:r w:rsidRPr="00874189">
        <w:rPr>
          <w:sz w:val="18"/>
          <w:szCs w:val="18"/>
        </w:rPr>
        <w:t xml:space="preserve">accuracy following anterior prefrontal lesions. </w:t>
      </w:r>
      <w:r w:rsidRPr="00874189">
        <w:rPr>
          <w:i/>
          <w:iCs/>
          <w:sz w:val="18"/>
          <w:szCs w:val="18"/>
        </w:rPr>
        <w:t>Brain</w:t>
      </w:r>
      <w:r w:rsidRPr="00874189">
        <w:rPr>
          <w:sz w:val="18"/>
          <w:szCs w:val="18"/>
        </w:rPr>
        <w:t xml:space="preserve"> </w:t>
      </w:r>
      <w:r w:rsidRPr="00874189">
        <w:rPr>
          <w:b/>
          <w:bCs/>
          <w:sz w:val="18"/>
          <w:szCs w:val="18"/>
        </w:rPr>
        <w:t>137</w:t>
      </w:r>
      <w:r w:rsidRPr="00874189">
        <w:rPr>
          <w:sz w:val="18"/>
          <w:szCs w:val="18"/>
        </w:rPr>
        <w:t>, 2811–2822 (2014).</w:t>
      </w:r>
    </w:p>
    <w:p w14:paraId="04335C73" w14:textId="77777777" w:rsidR="00572DCE" w:rsidRPr="00874189" w:rsidRDefault="00572DCE" w:rsidP="00B67DE2">
      <w:pPr>
        <w:pStyle w:val="Bibliography"/>
        <w:spacing w:line="240" w:lineRule="auto"/>
        <w:rPr>
          <w:sz w:val="18"/>
          <w:szCs w:val="18"/>
        </w:rPr>
      </w:pPr>
      <w:r w:rsidRPr="00874189">
        <w:rPr>
          <w:sz w:val="18"/>
          <w:szCs w:val="18"/>
        </w:rPr>
        <w:t>24.</w:t>
      </w:r>
      <w:r w:rsidRPr="00874189">
        <w:rPr>
          <w:sz w:val="18"/>
          <w:szCs w:val="18"/>
        </w:rPr>
        <w:tab/>
        <w:t xml:space="preserve">Vaccaro, A. G. &amp; Fleming, S. M. Thinking about thinking: A coordinate-based meta-analysis of neuroimaging studies of metacognitive judgements. </w:t>
      </w:r>
      <w:r w:rsidRPr="00874189">
        <w:rPr>
          <w:i/>
          <w:iCs/>
          <w:sz w:val="18"/>
          <w:szCs w:val="18"/>
        </w:rPr>
        <w:t>Brain Neurosci. Adv.</w:t>
      </w:r>
      <w:r w:rsidRPr="00874189">
        <w:rPr>
          <w:sz w:val="18"/>
          <w:szCs w:val="18"/>
        </w:rPr>
        <w:t xml:space="preserve"> </w:t>
      </w:r>
      <w:r w:rsidRPr="00874189">
        <w:rPr>
          <w:b/>
          <w:bCs/>
          <w:sz w:val="18"/>
          <w:szCs w:val="18"/>
        </w:rPr>
        <w:t>2</w:t>
      </w:r>
      <w:r w:rsidRPr="00874189">
        <w:rPr>
          <w:sz w:val="18"/>
          <w:szCs w:val="18"/>
        </w:rPr>
        <w:t>, 2398212818810591 (2018).</w:t>
      </w:r>
    </w:p>
    <w:p w14:paraId="416E5C74" w14:textId="77777777" w:rsidR="00572DCE" w:rsidRPr="00874189" w:rsidRDefault="00572DCE" w:rsidP="00B67DE2">
      <w:pPr>
        <w:pStyle w:val="Bibliography"/>
        <w:spacing w:line="240" w:lineRule="auto"/>
        <w:rPr>
          <w:sz w:val="18"/>
          <w:szCs w:val="18"/>
        </w:rPr>
      </w:pPr>
      <w:r w:rsidRPr="00874189">
        <w:rPr>
          <w:sz w:val="18"/>
          <w:szCs w:val="18"/>
        </w:rPr>
        <w:t>25.</w:t>
      </w:r>
      <w:r w:rsidRPr="00874189">
        <w:rPr>
          <w:sz w:val="18"/>
          <w:szCs w:val="18"/>
        </w:rPr>
        <w:tab/>
        <w:t xml:space="preserve">De Gardelle, V., Le Corre, F. &amp; Mamassian, P. Confidence as a common currency between vision and audition. </w:t>
      </w:r>
      <w:r w:rsidRPr="00874189">
        <w:rPr>
          <w:i/>
          <w:iCs/>
          <w:sz w:val="18"/>
          <w:szCs w:val="18"/>
        </w:rPr>
        <w:t>PloS One</w:t>
      </w:r>
      <w:r w:rsidRPr="00874189">
        <w:rPr>
          <w:sz w:val="18"/>
          <w:szCs w:val="18"/>
        </w:rPr>
        <w:t xml:space="preserve"> </w:t>
      </w:r>
      <w:r w:rsidRPr="00874189">
        <w:rPr>
          <w:b/>
          <w:bCs/>
          <w:sz w:val="18"/>
          <w:szCs w:val="18"/>
        </w:rPr>
        <w:t>11</w:t>
      </w:r>
      <w:r w:rsidRPr="00874189">
        <w:rPr>
          <w:sz w:val="18"/>
          <w:szCs w:val="18"/>
        </w:rPr>
        <w:t>, e0147901 (2016).</w:t>
      </w:r>
    </w:p>
    <w:p w14:paraId="41DD9C37" w14:textId="77777777" w:rsidR="00572DCE" w:rsidRPr="00874189" w:rsidRDefault="00572DCE" w:rsidP="00B67DE2">
      <w:pPr>
        <w:pStyle w:val="Bibliography"/>
        <w:spacing w:line="240" w:lineRule="auto"/>
        <w:rPr>
          <w:sz w:val="18"/>
          <w:szCs w:val="18"/>
        </w:rPr>
      </w:pPr>
      <w:r w:rsidRPr="00874189">
        <w:rPr>
          <w:sz w:val="18"/>
          <w:szCs w:val="18"/>
        </w:rPr>
        <w:t>26.</w:t>
      </w:r>
      <w:r w:rsidRPr="00874189">
        <w:rPr>
          <w:sz w:val="18"/>
          <w:szCs w:val="18"/>
        </w:rPr>
        <w:tab/>
        <w:t xml:space="preserve">De Gardelle, V. &amp; Mamassian, P. Does confidence use a common currency across two visual tasks? </w:t>
      </w:r>
      <w:r w:rsidRPr="00874189">
        <w:rPr>
          <w:i/>
          <w:iCs/>
          <w:sz w:val="18"/>
          <w:szCs w:val="18"/>
        </w:rPr>
        <w:t>Psychol. Sci.</w:t>
      </w:r>
      <w:r w:rsidRPr="00874189">
        <w:rPr>
          <w:sz w:val="18"/>
          <w:szCs w:val="18"/>
        </w:rPr>
        <w:t xml:space="preserve"> </w:t>
      </w:r>
      <w:r w:rsidRPr="00874189">
        <w:rPr>
          <w:b/>
          <w:bCs/>
          <w:sz w:val="18"/>
          <w:szCs w:val="18"/>
        </w:rPr>
        <w:t>25</w:t>
      </w:r>
      <w:r w:rsidRPr="00874189">
        <w:rPr>
          <w:sz w:val="18"/>
          <w:szCs w:val="18"/>
        </w:rPr>
        <w:t>, 1286–1288 (2014).</w:t>
      </w:r>
    </w:p>
    <w:p w14:paraId="6DBECE28" w14:textId="77777777" w:rsidR="00572DCE" w:rsidRPr="00874189" w:rsidRDefault="00572DCE" w:rsidP="00B67DE2">
      <w:pPr>
        <w:pStyle w:val="Bibliography"/>
        <w:spacing w:line="240" w:lineRule="auto"/>
        <w:rPr>
          <w:sz w:val="18"/>
          <w:szCs w:val="18"/>
        </w:rPr>
      </w:pPr>
      <w:r w:rsidRPr="00874189">
        <w:rPr>
          <w:sz w:val="18"/>
          <w:szCs w:val="18"/>
        </w:rPr>
        <w:t>27.</w:t>
      </w:r>
      <w:r w:rsidRPr="00874189">
        <w:rPr>
          <w:sz w:val="18"/>
          <w:szCs w:val="18"/>
        </w:rPr>
        <w:tab/>
        <w:t xml:space="preserve">Barthelmé, S. &amp; Mamassian, P. Flexible mechanisms underlie the evaluation of visual confidence. </w:t>
      </w:r>
      <w:r w:rsidRPr="00874189">
        <w:rPr>
          <w:i/>
          <w:iCs/>
          <w:sz w:val="18"/>
          <w:szCs w:val="18"/>
        </w:rPr>
        <w:t>Proc. Natl. Acad. Sci.</w:t>
      </w:r>
      <w:r w:rsidRPr="00874189">
        <w:rPr>
          <w:sz w:val="18"/>
          <w:szCs w:val="18"/>
        </w:rPr>
        <w:t xml:space="preserve"> </w:t>
      </w:r>
      <w:r w:rsidRPr="00874189">
        <w:rPr>
          <w:b/>
          <w:bCs/>
          <w:sz w:val="18"/>
          <w:szCs w:val="18"/>
        </w:rPr>
        <w:t>107</w:t>
      </w:r>
      <w:r w:rsidRPr="00874189">
        <w:rPr>
          <w:sz w:val="18"/>
          <w:szCs w:val="18"/>
        </w:rPr>
        <w:t>, 20834–20839 (2010).</w:t>
      </w:r>
    </w:p>
    <w:p w14:paraId="4BF7CF1D" w14:textId="77777777" w:rsidR="00572DCE" w:rsidRPr="00874189" w:rsidRDefault="00572DCE" w:rsidP="00B67DE2">
      <w:pPr>
        <w:pStyle w:val="Bibliography"/>
        <w:spacing w:line="240" w:lineRule="auto"/>
        <w:rPr>
          <w:sz w:val="18"/>
          <w:szCs w:val="18"/>
        </w:rPr>
      </w:pPr>
      <w:r w:rsidRPr="00874189">
        <w:rPr>
          <w:sz w:val="18"/>
          <w:szCs w:val="18"/>
        </w:rPr>
        <w:t>28.</w:t>
      </w:r>
      <w:r w:rsidRPr="00874189">
        <w:rPr>
          <w:sz w:val="18"/>
          <w:szCs w:val="18"/>
        </w:rPr>
        <w:tab/>
        <w:t xml:space="preserve">Klever, L., Beyvers, M. C., Fiehler, K., Mamassian, P. &amp; Billino, J. Cross-modal metacognition: Visual and tactile confidence share a common scale. </w:t>
      </w:r>
      <w:r w:rsidRPr="00874189">
        <w:rPr>
          <w:i/>
          <w:iCs/>
          <w:sz w:val="18"/>
          <w:szCs w:val="18"/>
        </w:rPr>
        <w:t>J. Vis.</w:t>
      </w:r>
      <w:r w:rsidRPr="00874189">
        <w:rPr>
          <w:sz w:val="18"/>
          <w:szCs w:val="18"/>
        </w:rPr>
        <w:t xml:space="preserve"> </w:t>
      </w:r>
      <w:r w:rsidRPr="00874189">
        <w:rPr>
          <w:b/>
          <w:bCs/>
          <w:sz w:val="18"/>
          <w:szCs w:val="18"/>
        </w:rPr>
        <w:t>23</w:t>
      </w:r>
      <w:r w:rsidRPr="00874189">
        <w:rPr>
          <w:sz w:val="18"/>
          <w:szCs w:val="18"/>
        </w:rPr>
        <w:t>, 3 (2023).</w:t>
      </w:r>
    </w:p>
    <w:p w14:paraId="7CD16BAA" w14:textId="77777777" w:rsidR="00572DCE" w:rsidRPr="00874189" w:rsidRDefault="00572DCE" w:rsidP="00B67DE2">
      <w:pPr>
        <w:pStyle w:val="Bibliography"/>
        <w:spacing w:line="240" w:lineRule="auto"/>
        <w:rPr>
          <w:sz w:val="18"/>
          <w:szCs w:val="18"/>
        </w:rPr>
      </w:pPr>
      <w:r w:rsidRPr="00874189">
        <w:rPr>
          <w:sz w:val="18"/>
          <w:szCs w:val="18"/>
        </w:rPr>
        <w:t>29.</w:t>
      </w:r>
      <w:r w:rsidRPr="00874189">
        <w:rPr>
          <w:sz w:val="18"/>
          <w:szCs w:val="18"/>
        </w:rPr>
        <w:tab/>
        <w:t xml:space="preserve">Horn, J. L. Organization of abilities and the development of intelligence. </w:t>
      </w:r>
      <w:r w:rsidRPr="00874189">
        <w:rPr>
          <w:i/>
          <w:iCs/>
          <w:sz w:val="18"/>
          <w:szCs w:val="18"/>
        </w:rPr>
        <w:t>Psychol. Rev.</w:t>
      </w:r>
      <w:r w:rsidRPr="00874189">
        <w:rPr>
          <w:sz w:val="18"/>
          <w:szCs w:val="18"/>
        </w:rPr>
        <w:t xml:space="preserve"> </w:t>
      </w:r>
      <w:r w:rsidRPr="00874189">
        <w:rPr>
          <w:b/>
          <w:bCs/>
          <w:sz w:val="18"/>
          <w:szCs w:val="18"/>
        </w:rPr>
        <w:t>75</w:t>
      </w:r>
      <w:r w:rsidRPr="00874189">
        <w:rPr>
          <w:sz w:val="18"/>
          <w:szCs w:val="18"/>
        </w:rPr>
        <w:t>, 242–259 (1968).</w:t>
      </w:r>
    </w:p>
    <w:p w14:paraId="091C5AB0" w14:textId="77777777" w:rsidR="00572DCE" w:rsidRPr="00874189" w:rsidRDefault="00572DCE" w:rsidP="00B67DE2">
      <w:pPr>
        <w:pStyle w:val="Bibliography"/>
        <w:spacing w:line="240" w:lineRule="auto"/>
        <w:rPr>
          <w:sz w:val="18"/>
          <w:szCs w:val="18"/>
        </w:rPr>
      </w:pPr>
      <w:r w:rsidRPr="00874189">
        <w:rPr>
          <w:sz w:val="18"/>
          <w:szCs w:val="18"/>
        </w:rPr>
        <w:t>30.</w:t>
      </w:r>
      <w:r w:rsidRPr="00874189">
        <w:rPr>
          <w:sz w:val="18"/>
          <w:szCs w:val="18"/>
        </w:rPr>
        <w:tab/>
        <w:t xml:space="preserve">Simpson-Kent, I. L. </w:t>
      </w:r>
      <w:r w:rsidRPr="00874189">
        <w:rPr>
          <w:i/>
          <w:iCs/>
          <w:sz w:val="18"/>
          <w:szCs w:val="18"/>
        </w:rPr>
        <w:t>et al.</w:t>
      </w:r>
      <w:r w:rsidRPr="00874189">
        <w:rPr>
          <w:sz w:val="18"/>
          <w:szCs w:val="18"/>
        </w:rPr>
        <w:t xml:space="preserve"> Neurocognitive reorganization between crystallized intelligence, fluid intelligence and white matter microstructure in two age-heterogeneous developmental cohorts. </w:t>
      </w:r>
      <w:r w:rsidRPr="00874189">
        <w:rPr>
          <w:i/>
          <w:iCs/>
          <w:sz w:val="18"/>
          <w:szCs w:val="18"/>
        </w:rPr>
        <w:t>Dev. Cogn. Neurosci.</w:t>
      </w:r>
      <w:r w:rsidRPr="00874189">
        <w:rPr>
          <w:sz w:val="18"/>
          <w:szCs w:val="18"/>
        </w:rPr>
        <w:t xml:space="preserve"> </w:t>
      </w:r>
      <w:r w:rsidRPr="00874189">
        <w:rPr>
          <w:b/>
          <w:bCs/>
          <w:sz w:val="18"/>
          <w:szCs w:val="18"/>
        </w:rPr>
        <w:t>41</w:t>
      </w:r>
      <w:r w:rsidRPr="00874189">
        <w:rPr>
          <w:sz w:val="18"/>
          <w:szCs w:val="18"/>
        </w:rPr>
        <w:t>, 100743 (2020).</w:t>
      </w:r>
    </w:p>
    <w:p w14:paraId="1FCFC437" w14:textId="77777777" w:rsidR="00572DCE" w:rsidRPr="00874189" w:rsidRDefault="00572DCE" w:rsidP="00B67DE2">
      <w:pPr>
        <w:pStyle w:val="Bibliography"/>
        <w:spacing w:line="240" w:lineRule="auto"/>
        <w:rPr>
          <w:sz w:val="18"/>
          <w:szCs w:val="18"/>
        </w:rPr>
      </w:pPr>
      <w:r w:rsidRPr="00874189">
        <w:rPr>
          <w:sz w:val="18"/>
          <w:szCs w:val="18"/>
        </w:rPr>
        <w:t>31.</w:t>
      </w:r>
      <w:r w:rsidRPr="00874189">
        <w:rPr>
          <w:sz w:val="18"/>
          <w:szCs w:val="18"/>
        </w:rPr>
        <w:tab/>
        <w:t xml:space="preserve">Feigenson, L., Dehaene, S. &amp; Spelke, E. Core systems of number. </w:t>
      </w:r>
      <w:r w:rsidRPr="00874189">
        <w:rPr>
          <w:i/>
          <w:iCs/>
          <w:sz w:val="18"/>
          <w:szCs w:val="18"/>
        </w:rPr>
        <w:t>Trends Cogn. Sci.</w:t>
      </w:r>
      <w:r w:rsidRPr="00874189">
        <w:rPr>
          <w:sz w:val="18"/>
          <w:szCs w:val="18"/>
        </w:rPr>
        <w:t xml:space="preserve"> </w:t>
      </w:r>
      <w:r w:rsidRPr="00874189">
        <w:rPr>
          <w:b/>
          <w:bCs/>
          <w:sz w:val="18"/>
          <w:szCs w:val="18"/>
        </w:rPr>
        <w:t>8</w:t>
      </w:r>
      <w:r w:rsidRPr="00874189">
        <w:rPr>
          <w:sz w:val="18"/>
          <w:szCs w:val="18"/>
        </w:rPr>
        <w:t>, 307–314 (2004).</w:t>
      </w:r>
    </w:p>
    <w:p w14:paraId="00A74741" w14:textId="77777777" w:rsidR="00572DCE" w:rsidRPr="00874189" w:rsidRDefault="00572DCE" w:rsidP="00B67DE2">
      <w:pPr>
        <w:pStyle w:val="Bibliography"/>
        <w:spacing w:line="240" w:lineRule="auto"/>
        <w:rPr>
          <w:sz w:val="18"/>
          <w:szCs w:val="18"/>
        </w:rPr>
      </w:pPr>
      <w:r w:rsidRPr="00874189">
        <w:rPr>
          <w:sz w:val="18"/>
          <w:szCs w:val="18"/>
        </w:rPr>
        <w:t>32.</w:t>
      </w:r>
      <w:r w:rsidRPr="00874189">
        <w:rPr>
          <w:sz w:val="18"/>
          <w:szCs w:val="18"/>
        </w:rPr>
        <w:tab/>
        <w:t xml:space="preserve">Baer, C., Malik, P. &amp; Odic, D. Are children’s judgments of another’s accuracy linked to their metacognitive confidence judgments? </w:t>
      </w:r>
      <w:r w:rsidRPr="00874189">
        <w:rPr>
          <w:i/>
          <w:iCs/>
          <w:sz w:val="18"/>
          <w:szCs w:val="18"/>
        </w:rPr>
        <w:t>Metacognition Learn.</w:t>
      </w:r>
      <w:r w:rsidRPr="00874189">
        <w:rPr>
          <w:sz w:val="18"/>
          <w:szCs w:val="18"/>
        </w:rPr>
        <w:t xml:space="preserve"> </w:t>
      </w:r>
      <w:r w:rsidRPr="00874189">
        <w:rPr>
          <w:b/>
          <w:bCs/>
          <w:sz w:val="18"/>
          <w:szCs w:val="18"/>
        </w:rPr>
        <w:t>16</w:t>
      </w:r>
      <w:r w:rsidRPr="00874189">
        <w:rPr>
          <w:sz w:val="18"/>
          <w:szCs w:val="18"/>
        </w:rPr>
        <w:t>, 485–516 (2021).</w:t>
      </w:r>
    </w:p>
    <w:p w14:paraId="2C6530DA" w14:textId="77777777" w:rsidR="00572DCE" w:rsidRPr="00874189" w:rsidRDefault="00572DCE" w:rsidP="00B67DE2">
      <w:pPr>
        <w:pStyle w:val="Bibliography"/>
        <w:spacing w:line="240" w:lineRule="auto"/>
        <w:rPr>
          <w:sz w:val="18"/>
          <w:szCs w:val="18"/>
        </w:rPr>
      </w:pPr>
      <w:r w:rsidRPr="00874189">
        <w:rPr>
          <w:sz w:val="18"/>
          <w:szCs w:val="18"/>
        </w:rPr>
        <w:t>33.</w:t>
      </w:r>
      <w:r w:rsidRPr="00874189">
        <w:rPr>
          <w:sz w:val="18"/>
          <w:szCs w:val="18"/>
        </w:rPr>
        <w:tab/>
        <w:t xml:space="preserve">Bellon, E., Fias, W. &amp; Smedt, B. D. Metacognition across domains: Is the association between arithmetic and metacognitive monitoring domain-specific? </w:t>
      </w:r>
      <w:r w:rsidRPr="00874189">
        <w:rPr>
          <w:i/>
          <w:iCs/>
          <w:sz w:val="18"/>
          <w:szCs w:val="18"/>
        </w:rPr>
        <w:t>PLOS ONE</w:t>
      </w:r>
      <w:r w:rsidRPr="00874189">
        <w:rPr>
          <w:sz w:val="18"/>
          <w:szCs w:val="18"/>
        </w:rPr>
        <w:t xml:space="preserve"> </w:t>
      </w:r>
      <w:r w:rsidRPr="00874189">
        <w:rPr>
          <w:b/>
          <w:bCs/>
          <w:sz w:val="18"/>
          <w:szCs w:val="18"/>
        </w:rPr>
        <w:t>15</w:t>
      </w:r>
      <w:r w:rsidRPr="00874189">
        <w:rPr>
          <w:sz w:val="18"/>
          <w:szCs w:val="18"/>
        </w:rPr>
        <w:t>, e0229932 (2020).</w:t>
      </w:r>
    </w:p>
    <w:p w14:paraId="410FE36D" w14:textId="77777777" w:rsidR="00572DCE" w:rsidRPr="00874189" w:rsidRDefault="00572DCE" w:rsidP="00B67DE2">
      <w:pPr>
        <w:pStyle w:val="Bibliography"/>
        <w:spacing w:line="240" w:lineRule="auto"/>
        <w:rPr>
          <w:sz w:val="18"/>
          <w:szCs w:val="18"/>
        </w:rPr>
      </w:pPr>
      <w:r w:rsidRPr="00874189">
        <w:rPr>
          <w:sz w:val="18"/>
          <w:szCs w:val="18"/>
        </w:rPr>
        <w:t>34.</w:t>
      </w:r>
      <w:r w:rsidRPr="00874189">
        <w:rPr>
          <w:sz w:val="18"/>
          <w:szCs w:val="18"/>
        </w:rPr>
        <w:tab/>
        <w:t xml:space="preserve">Geurten, M., Meulemans, T. &amp; Lemaire, P. From domain-specific to domain-general? The developmental path of metacognition for strategy selection. </w:t>
      </w:r>
      <w:r w:rsidRPr="00874189">
        <w:rPr>
          <w:i/>
          <w:iCs/>
          <w:sz w:val="18"/>
          <w:szCs w:val="18"/>
        </w:rPr>
        <w:t>Cogn. Dev.</w:t>
      </w:r>
      <w:r w:rsidRPr="00874189">
        <w:rPr>
          <w:sz w:val="18"/>
          <w:szCs w:val="18"/>
        </w:rPr>
        <w:t xml:space="preserve"> </w:t>
      </w:r>
      <w:r w:rsidRPr="00874189">
        <w:rPr>
          <w:b/>
          <w:bCs/>
          <w:sz w:val="18"/>
          <w:szCs w:val="18"/>
        </w:rPr>
        <w:t>48</w:t>
      </w:r>
      <w:r w:rsidRPr="00874189">
        <w:rPr>
          <w:sz w:val="18"/>
          <w:szCs w:val="18"/>
        </w:rPr>
        <w:t>, 62–81 (2018).</w:t>
      </w:r>
    </w:p>
    <w:p w14:paraId="1994B5D6" w14:textId="77777777" w:rsidR="00572DCE" w:rsidRPr="00874189" w:rsidRDefault="00572DCE" w:rsidP="00B67DE2">
      <w:pPr>
        <w:pStyle w:val="Bibliography"/>
        <w:spacing w:line="240" w:lineRule="auto"/>
        <w:rPr>
          <w:sz w:val="18"/>
          <w:szCs w:val="18"/>
        </w:rPr>
      </w:pPr>
      <w:r w:rsidRPr="00874189">
        <w:rPr>
          <w:sz w:val="18"/>
          <w:szCs w:val="18"/>
        </w:rPr>
        <w:t>35.</w:t>
      </w:r>
      <w:r w:rsidRPr="00874189">
        <w:rPr>
          <w:sz w:val="18"/>
          <w:szCs w:val="18"/>
        </w:rPr>
        <w:tab/>
        <w:t xml:space="preserve">Taouki, I., Lallier, M. &amp; Soto, D. The role of metacognition in monitoring performance and regulating learning in early readers. </w:t>
      </w:r>
      <w:r w:rsidRPr="00874189">
        <w:rPr>
          <w:i/>
          <w:iCs/>
          <w:sz w:val="18"/>
          <w:szCs w:val="18"/>
        </w:rPr>
        <w:t>Metacognition Learn.</w:t>
      </w:r>
      <w:r w:rsidRPr="00874189">
        <w:rPr>
          <w:sz w:val="18"/>
          <w:szCs w:val="18"/>
        </w:rPr>
        <w:t xml:space="preserve"> </w:t>
      </w:r>
      <w:r w:rsidRPr="00874189">
        <w:rPr>
          <w:b/>
          <w:bCs/>
          <w:sz w:val="18"/>
          <w:szCs w:val="18"/>
        </w:rPr>
        <w:t>17</w:t>
      </w:r>
      <w:r w:rsidRPr="00874189">
        <w:rPr>
          <w:sz w:val="18"/>
          <w:szCs w:val="18"/>
        </w:rPr>
        <w:t>, 921–948 (2022).</w:t>
      </w:r>
    </w:p>
    <w:p w14:paraId="79109DD1" w14:textId="77777777" w:rsidR="00572DCE" w:rsidRPr="00874189" w:rsidRDefault="00572DCE" w:rsidP="00B67DE2">
      <w:pPr>
        <w:pStyle w:val="Bibliography"/>
        <w:spacing w:line="240" w:lineRule="auto"/>
        <w:rPr>
          <w:sz w:val="18"/>
          <w:szCs w:val="18"/>
        </w:rPr>
      </w:pPr>
      <w:r w:rsidRPr="00874189">
        <w:rPr>
          <w:sz w:val="18"/>
          <w:szCs w:val="18"/>
        </w:rPr>
        <w:t>36.</w:t>
      </w:r>
      <w:r w:rsidRPr="00874189">
        <w:rPr>
          <w:sz w:val="18"/>
          <w:szCs w:val="18"/>
        </w:rPr>
        <w:tab/>
        <w:t xml:space="preserve">Vo, V. A., Li, R., Kornell, N., Pouget, A. &amp; Cantlon, J. F. Young children bet on their numerical skills metacognition in the numerical domain. </w:t>
      </w:r>
      <w:r w:rsidRPr="00874189">
        <w:rPr>
          <w:i/>
          <w:iCs/>
          <w:sz w:val="18"/>
          <w:szCs w:val="18"/>
        </w:rPr>
        <w:t>Psychol. Sci.</w:t>
      </w:r>
      <w:r w:rsidRPr="00874189">
        <w:rPr>
          <w:sz w:val="18"/>
          <w:szCs w:val="18"/>
        </w:rPr>
        <w:t xml:space="preserve"> </w:t>
      </w:r>
      <w:r w:rsidRPr="00874189">
        <w:rPr>
          <w:b/>
          <w:bCs/>
          <w:sz w:val="18"/>
          <w:szCs w:val="18"/>
        </w:rPr>
        <w:t>25</w:t>
      </w:r>
      <w:r w:rsidRPr="00874189">
        <w:rPr>
          <w:sz w:val="18"/>
          <w:szCs w:val="18"/>
        </w:rPr>
        <w:t>, 1712–1721 (2014).</w:t>
      </w:r>
    </w:p>
    <w:p w14:paraId="0D835B48" w14:textId="77777777" w:rsidR="00572DCE" w:rsidRPr="00874189" w:rsidRDefault="00572DCE" w:rsidP="00B67DE2">
      <w:pPr>
        <w:pStyle w:val="Bibliography"/>
        <w:spacing w:line="240" w:lineRule="auto"/>
        <w:rPr>
          <w:sz w:val="18"/>
          <w:szCs w:val="18"/>
        </w:rPr>
      </w:pPr>
      <w:r w:rsidRPr="00874189">
        <w:rPr>
          <w:sz w:val="18"/>
          <w:szCs w:val="18"/>
        </w:rPr>
        <w:t>37.</w:t>
      </w:r>
      <w:r w:rsidRPr="00874189">
        <w:rPr>
          <w:sz w:val="18"/>
          <w:szCs w:val="18"/>
        </w:rPr>
        <w:tab/>
        <w:t xml:space="preserve">Baer, C. &amp; Odic, D. Children flexibly compare their confidence within and across perceptual domains. </w:t>
      </w:r>
      <w:r w:rsidRPr="00874189">
        <w:rPr>
          <w:i/>
          <w:iCs/>
          <w:sz w:val="18"/>
          <w:szCs w:val="18"/>
        </w:rPr>
        <w:t>Dev. Psychol.</w:t>
      </w:r>
      <w:r w:rsidRPr="00874189">
        <w:rPr>
          <w:sz w:val="18"/>
          <w:szCs w:val="18"/>
        </w:rPr>
        <w:t xml:space="preserve"> </w:t>
      </w:r>
      <w:r w:rsidRPr="00874189">
        <w:rPr>
          <w:b/>
          <w:bCs/>
          <w:sz w:val="18"/>
          <w:szCs w:val="18"/>
        </w:rPr>
        <w:t>56</w:t>
      </w:r>
      <w:r w:rsidRPr="00874189">
        <w:rPr>
          <w:sz w:val="18"/>
          <w:szCs w:val="18"/>
        </w:rPr>
        <w:t>, 2095–2101 (2020).</w:t>
      </w:r>
    </w:p>
    <w:p w14:paraId="0351927B" w14:textId="77777777" w:rsidR="00572DCE" w:rsidRPr="00874189" w:rsidRDefault="00572DCE" w:rsidP="00B67DE2">
      <w:pPr>
        <w:pStyle w:val="Bibliography"/>
        <w:spacing w:line="240" w:lineRule="auto"/>
        <w:rPr>
          <w:sz w:val="18"/>
          <w:szCs w:val="18"/>
        </w:rPr>
      </w:pPr>
      <w:r w:rsidRPr="00874189">
        <w:rPr>
          <w:sz w:val="18"/>
          <w:szCs w:val="18"/>
        </w:rPr>
        <w:t>38.</w:t>
      </w:r>
      <w:r w:rsidRPr="00874189">
        <w:rPr>
          <w:sz w:val="18"/>
          <w:szCs w:val="18"/>
        </w:rPr>
        <w:tab/>
        <w:t xml:space="preserve">Baer, C., Gill, I. K. &amp; Odic, D. A domain-general sense of confidence in children. </w:t>
      </w:r>
      <w:r w:rsidRPr="00874189">
        <w:rPr>
          <w:i/>
          <w:iCs/>
          <w:sz w:val="18"/>
          <w:szCs w:val="18"/>
        </w:rPr>
        <w:t>Open Mind Discov. Cogn. Sci.</w:t>
      </w:r>
      <w:r w:rsidRPr="00874189">
        <w:rPr>
          <w:sz w:val="18"/>
          <w:szCs w:val="18"/>
        </w:rPr>
        <w:t xml:space="preserve"> </w:t>
      </w:r>
      <w:r w:rsidRPr="00874189">
        <w:rPr>
          <w:b/>
          <w:bCs/>
          <w:sz w:val="18"/>
          <w:szCs w:val="18"/>
        </w:rPr>
        <w:t>2</w:t>
      </w:r>
      <w:r w:rsidRPr="00874189">
        <w:rPr>
          <w:sz w:val="18"/>
          <w:szCs w:val="18"/>
        </w:rPr>
        <w:t>, 86–96 (2018).</w:t>
      </w:r>
    </w:p>
    <w:p w14:paraId="6B6D2A6F" w14:textId="77777777" w:rsidR="00572DCE" w:rsidRPr="00874189" w:rsidRDefault="00572DCE" w:rsidP="00B67DE2">
      <w:pPr>
        <w:pStyle w:val="Bibliography"/>
        <w:spacing w:line="240" w:lineRule="auto"/>
        <w:rPr>
          <w:sz w:val="18"/>
          <w:szCs w:val="18"/>
        </w:rPr>
      </w:pPr>
      <w:r w:rsidRPr="00874189">
        <w:rPr>
          <w:sz w:val="18"/>
          <w:szCs w:val="18"/>
        </w:rPr>
        <w:t>39.</w:t>
      </w:r>
      <w:r w:rsidRPr="00874189">
        <w:rPr>
          <w:sz w:val="18"/>
          <w:szCs w:val="18"/>
        </w:rPr>
        <w:tab/>
        <w:t xml:space="preserve">Baer, C. &amp; Odic, D. Certainty in numerical judgments develops independently of the Approximate Number System. </w:t>
      </w:r>
      <w:r w:rsidRPr="00874189">
        <w:rPr>
          <w:i/>
          <w:iCs/>
          <w:sz w:val="18"/>
          <w:szCs w:val="18"/>
        </w:rPr>
        <w:t>Cogn. Dev.</w:t>
      </w:r>
      <w:r w:rsidRPr="00874189">
        <w:rPr>
          <w:sz w:val="18"/>
          <w:szCs w:val="18"/>
        </w:rPr>
        <w:t xml:space="preserve"> </w:t>
      </w:r>
      <w:r w:rsidRPr="00874189">
        <w:rPr>
          <w:b/>
          <w:bCs/>
          <w:sz w:val="18"/>
          <w:szCs w:val="18"/>
        </w:rPr>
        <w:t>52</w:t>
      </w:r>
      <w:r w:rsidRPr="00874189">
        <w:rPr>
          <w:sz w:val="18"/>
          <w:szCs w:val="18"/>
        </w:rPr>
        <w:t>, 100817 (2019).</w:t>
      </w:r>
    </w:p>
    <w:p w14:paraId="5601D58B" w14:textId="77777777" w:rsidR="00572DCE" w:rsidRPr="00874189" w:rsidRDefault="00572DCE" w:rsidP="00B67DE2">
      <w:pPr>
        <w:pStyle w:val="Bibliography"/>
        <w:spacing w:line="240" w:lineRule="auto"/>
        <w:rPr>
          <w:sz w:val="18"/>
          <w:szCs w:val="18"/>
        </w:rPr>
      </w:pPr>
      <w:r w:rsidRPr="00874189">
        <w:rPr>
          <w:sz w:val="18"/>
          <w:szCs w:val="18"/>
        </w:rPr>
        <w:t>40.</w:t>
      </w:r>
      <w:r w:rsidRPr="00874189">
        <w:rPr>
          <w:sz w:val="18"/>
          <w:szCs w:val="18"/>
        </w:rPr>
        <w:tab/>
        <w:t xml:space="preserve">Hembacher, E. &amp; Ghetti, S. Don’t look at my answer: subjective uncertainty underlies preschoolers’ exclusion of their least accurate memories. </w:t>
      </w:r>
      <w:r w:rsidRPr="00874189">
        <w:rPr>
          <w:i/>
          <w:iCs/>
          <w:sz w:val="18"/>
          <w:szCs w:val="18"/>
        </w:rPr>
        <w:t>Psychol. Sci.</w:t>
      </w:r>
      <w:r w:rsidRPr="00874189">
        <w:rPr>
          <w:sz w:val="18"/>
          <w:szCs w:val="18"/>
        </w:rPr>
        <w:t xml:space="preserve"> </w:t>
      </w:r>
      <w:r w:rsidRPr="00874189">
        <w:rPr>
          <w:b/>
          <w:bCs/>
          <w:sz w:val="18"/>
          <w:szCs w:val="18"/>
        </w:rPr>
        <w:t>25</w:t>
      </w:r>
      <w:r w:rsidRPr="00874189">
        <w:rPr>
          <w:sz w:val="18"/>
          <w:szCs w:val="18"/>
        </w:rPr>
        <w:t>, 1768–1776 (2014).</w:t>
      </w:r>
    </w:p>
    <w:p w14:paraId="1F6A1196" w14:textId="77777777" w:rsidR="00572DCE" w:rsidRPr="00874189" w:rsidRDefault="00572DCE" w:rsidP="00B67DE2">
      <w:pPr>
        <w:pStyle w:val="Bibliography"/>
        <w:spacing w:line="240" w:lineRule="auto"/>
        <w:rPr>
          <w:sz w:val="18"/>
          <w:szCs w:val="18"/>
        </w:rPr>
      </w:pPr>
      <w:r w:rsidRPr="00874189">
        <w:rPr>
          <w:sz w:val="18"/>
          <w:szCs w:val="18"/>
        </w:rPr>
        <w:lastRenderedPageBreak/>
        <w:t>41.</w:t>
      </w:r>
      <w:r w:rsidRPr="00874189">
        <w:rPr>
          <w:sz w:val="18"/>
          <w:szCs w:val="18"/>
        </w:rPr>
        <w:tab/>
        <w:t xml:space="preserve">Maniscalco, B. &amp; Lau, H. Signal Detection Theory analysis of Type 1 and Type 2 data: Meta-d′, response-specific Meta-d′, and the Unequal Variance SDT model. in </w:t>
      </w:r>
      <w:r w:rsidRPr="00874189">
        <w:rPr>
          <w:i/>
          <w:iCs/>
          <w:sz w:val="18"/>
          <w:szCs w:val="18"/>
        </w:rPr>
        <w:t>The Cognitive Neuroscience of Metacognition</w:t>
      </w:r>
      <w:r w:rsidRPr="00874189">
        <w:rPr>
          <w:sz w:val="18"/>
          <w:szCs w:val="18"/>
        </w:rPr>
        <w:t xml:space="preserve"> 25–66 (Springer, 2014). doi:10.1007/978-3-642-45190-4_3.</w:t>
      </w:r>
    </w:p>
    <w:p w14:paraId="43316409" w14:textId="77777777" w:rsidR="00572DCE" w:rsidRPr="00874189" w:rsidRDefault="00572DCE" w:rsidP="00B67DE2">
      <w:pPr>
        <w:pStyle w:val="Bibliography"/>
        <w:spacing w:line="240" w:lineRule="auto"/>
        <w:rPr>
          <w:sz w:val="18"/>
          <w:szCs w:val="18"/>
        </w:rPr>
      </w:pPr>
      <w:r w:rsidRPr="00874189">
        <w:rPr>
          <w:sz w:val="18"/>
          <w:szCs w:val="18"/>
        </w:rPr>
        <w:t>42.</w:t>
      </w:r>
      <w:r w:rsidRPr="00874189">
        <w:rPr>
          <w:sz w:val="18"/>
          <w:szCs w:val="18"/>
        </w:rPr>
        <w:tab/>
        <w:t xml:space="preserve">Kelley, C. M. . &amp; Lindsay, D. S. Remembering Mistaken for Knowing: Ease of Retrieval as a Basis for Confidence in Answers to General Knowledge Questions. </w:t>
      </w:r>
      <w:r w:rsidRPr="00874189">
        <w:rPr>
          <w:i/>
          <w:iCs/>
          <w:sz w:val="18"/>
          <w:szCs w:val="18"/>
        </w:rPr>
        <w:t>J. Mem. Lang.</w:t>
      </w:r>
      <w:r w:rsidRPr="00874189">
        <w:rPr>
          <w:sz w:val="18"/>
          <w:szCs w:val="18"/>
        </w:rPr>
        <w:t xml:space="preserve"> </w:t>
      </w:r>
      <w:r w:rsidRPr="00874189">
        <w:rPr>
          <w:b/>
          <w:bCs/>
          <w:sz w:val="18"/>
          <w:szCs w:val="18"/>
        </w:rPr>
        <w:t>32</w:t>
      </w:r>
      <w:r w:rsidRPr="00874189">
        <w:rPr>
          <w:sz w:val="18"/>
          <w:szCs w:val="18"/>
        </w:rPr>
        <w:t>, 1–24 (1993).</w:t>
      </w:r>
    </w:p>
    <w:p w14:paraId="58D77E1E" w14:textId="77777777" w:rsidR="00572DCE" w:rsidRPr="00874189" w:rsidRDefault="00572DCE" w:rsidP="00B67DE2">
      <w:pPr>
        <w:pStyle w:val="Bibliography"/>
        <w:spacing w:line="240" w:lineRule="auto"/>
        <w:rPr>
          <w:sz w:val="18"/>
          <w:szCs w:val="18"/>
        </w:rPr>
      </w:pPr>
      <w:r w:rsidRPr="00874189">
        <w:rPr>
          <w:sz w:val="18"/>
          <w:szCs w:val="18"/>
        </w:rPr>
        <w:t>43.</w:t>
      </w:r>
      <w:r w:rsidRPr="00874189">
        <w:rPr>
          <w:sz w:val="18"/>
          <w:szCs w:val="18"/>
        </w:rPr>
        <w:tab/>
        <w:t xml:space="preserve">Koriat, A. &amp; Levy-Sadot, R. The combined contributions of the cue-familiarity and accessibility heuristics to feelings of knowing. </w:t>
      </w:r>
      <w:r w:rsidRPr="00874189">
        <w:rPr>
          <w:i/>
          <w:iCs/>
          <w:sz w:val="18"/>
          <w:szCs w:val="18"/>
        </w:rPr>
        <w:t>J. Exp. Psychol. Learn. Mem. Cogn.</w:t>
      </w:r>
      <w:r w:rsidRPr="00874189">
        <w:rPr>
          <w:sz w:val="18"/>
          <w:szCs w:val="18"/>
        </w:rPr>
        <w:t xml:space="preserve"> </w:t>
      </w:r>
      <w:r w:rsidRPr="00874189">
        <w:rPr>
          <w:b/>
          <w:bCs/>
          <w:sz w:val="18"/>
          <w:szCs w:val="18"/>
        </w:rPr>
        <w:t>27</w:t>
      </w:r>
      <w:r w:rsidRPr="00874189">
        <w:rPr>
          <w:sz w:val="18"/>
          <w:szCs w:val="18"/>
        </w:rPr>
        <w:t>, 34–53 (2001).</w:t>
      </w:r>
    </w:p>
    <w:p w14:paraId="5E0E1E5C" w14:textId="77777777" w:rsidR="00572DCE" w:rsidRPr="00874189" w:rsidRDefault="00572DCE" w:rsidP="00B67DE2">
      <w:pPr>
        <w:pStyle w:val="Bibliography"/>
        <w:spacing w:line="240" w:lineRule="auto"/>
        <w:rPr>
          <w:sz w:val="18"/>
          <w:szCs w:val="18"/>
        </w:rPr>
      </w:pPr>
      <w:r w:rsidRPr="00874189">
        <w:rPr>
          <w:sz w:val="18"/>
          <w:szCs w:val="18"/>
        </w:rPr>
        <w:t>44.</w:t>
      </w:r>
      <w:r w:rsidRPr="00874189">
        <w:rPr>
          <w:sz w:val="18"/>
          <w:szCs w:val="18"/>
        </w:rPr>
        <w:tab/>
        <w:t xml:space="preserve">Ais, J., Zylberberg, A., Barttfeld, P. &amp; Sigman, M. Individual consistency in the accuracy and distribution of confidence judgments. </w:t>
      </w:r>
      <w:r w:rsidRPr="00874189">
        <w:rPr>
          <w:i/>
          <w:iCs/>
          <w:sz w:val="18"/>
          <w:szCs w:val="18"/>
        </w:rPr>
        <w:t>Cognition</w:t>
      </w:r>
      <w:r w:rsidRPr="00874189">
        <w:rPr>
          <w:sz w:val="18"/>
          <w:szCs w:val="18"/>
        </w:rPr>
        <w:t xml:space="preserve"> </w:t>
      </w:r>
      <w:r w:rsidRPr="00874189">
        <w:rPr>
          <w:b/>
          <w:bCs/>
          <w:sz w:val="18"/>
          <w:szCs w:val="18"/>
        </w:rPr>
        <w:t>146</w:t>
      </w:r>
      <w:r w:rsidRPr="00874189">
        <w:rPr>
          <w:sz w:val="18"/>
          <w:szCs w:val="18"/>
        </w:rPr>
        <w:t>, 377–386 (2016).</w:t>
      </w:r>
    </w:p>
    <w:p w14:paraId="5EAFAAFA" w14:textId="77777777" w:rsidR="00572DCE" w:rsidRPr="00874189" w:rsidRDefault="00572DCE" w:rsidP="00B67DE2">
      <w:pPr>
        <w:pStyle w:val="Bibliography"/>
        <w:spacing w:line="240" w:lineRule="auto"/>
        <w:rPr>
          <w:sz w:val="18"/>
          <w:szCs w:val="18"/>
        </w:rPr>
      </w:pPr>
      <w:r w:rsidRPr="00874189">
        <w:rPr>
          <w:sz w:val="18"/>
          <w:szCs w:val="18"/>
        </w:rPr>
        <w:t>45.</w:t>
      </w:r>
      <w:r w:rsidRPr="00874189">
        <w:rPr>
          <w:sz w:val="18"/>
          <w:szCs w:val="18"/>
        </w:rPr>
        <w:tab/>
        <w:t xml:space="preserve">Lee, A. L. F., Ruby, E., Giles, N. &amp; Lau, H. Cross-domain association in metacognitive efficiency depends on first-order task types. </w:t>
      </w:r>
      <w:r w:rsidRPr="00874189">
        <w:rPr>
          <w:i/>
          <w:iCs/>
          <w:sz w:val="18"/>
          <w:szCs w:val="18"/>
        </w:rPr>
        <w:t>Front. Psychol.</w:t>
      </w:r>
      <w:r w:rsidRPr="00874189">
        <w:rPr>
          <w:sz w:val="18"/>
          <w:szCs w:val="18"/>
        </w:rPr>
        <w:t xml:space="preserve"> </w:t>
      </w:r>
      <w:r w:rsidRPr="00874189">
        <w:rPr>
          <w:b/>
          <w:bCs/>
          <w:sz w:val="18"/>
          <w:szCs w:val="18"/>
        </w:rPr>
        <w:t>9</w:t>
      </w:r>
      <w:r w:rsidRPr="00874189">
        <w:rPr>
          <w:sz w:val="18"/>
          <w:szCs w:val="18"/>
        </w:rPr>
        <w:t>, 2464 (2018).</w:t>
      </w:r>
    </w:p>
    <w:p w14:paraId="143F26D1" w14:textId="77777777" w:rsidR="00572DCE" w:rsidRPr="00874189" w:rsidRDefault="00572DCE" w:rsidP="00B67DE2">
      <w:pPr>
        <w:pStyle w:val="Bibliography"/>
        <w:spacing w:line="240" w:lineRule="auto"/>
        <w:rPr>
          <w:sz w:val="18"/>
          <w:szCs w:val="18"/>
        </w:rPr>
      </w:pPr>
      <w:r w:rsidRPr="00874189">
        <w:rPr>
          <w:sz w:val="18"/>
          <w:szCs w:val="18"/>
        </w:rPr>
        <w:t>46.</w:t>
      </w:r>
      <w:r w:rsidRPr="00874189">
        <w:rPr>
          <w:sz w:val="18"/>
          <w:szCs w:val="18"/>
        </w:rPr>
        <w:tab/>
        <w:t xml:space="preserve">Roebers, C. M., Mayer, B., Steiner, M., Bayard, N. S. &amp; Van Loon, M. H. The role of children’s metacognitive experiences for cue utilization and monitoring accuracy: A longitudinal study. </w:t>
      </w:r>
      <w:r w:rsidRPr="00874189">
        <w:rPr>
          <w:i/>
          <w:iCs/>
          <w:sz w:val="18"/>
          <w:szCs w:val="18"/>
        </w:rPr>
        <w:t>Dev. Psychol.</w:t>
      </w:r>
      <w:r w:rsidRPr="00874189">
        <w:rPr>
          <w:sz w:val="18"/>
          <w:szCs w:val="18"/>
        </w:rPr>
        <w:t xml:space="preserve"> </w:t>
      </w:r>
      <w:r w:rsidRPr="00874189">
        <w:rPr>
          <w:b/>
          <w:bCs/>
          <w:sz w:val="18"/>
          <w:szCs w:val="18"/>
        </w:rPr>
        <w:t>55</w:t>
      </w:r>
      <w:r w:rsidRPr="00874189">
        <w:rPr>
          <w:sz w:val="18"/>
          <w:szCs w:val="18"/>
        </w:rPr>
        <w:t>, 2077–2089 (2019).</w:t>
      </w:r>
    </w:p>
    <w:p w14:paraId="55C0EC47" w14:textId="77777777" w:rsidR="00572DCE" w:rsidRPr="00874189" w:rsidRDefault="00572DCE" w:rsidP="00B67DE2">
      <w:pPr>
        <w:pStyle w:val="Bibliography"/>
        <w:spacing w:line="240" w:lineRule="auto"/>
        <w:rPr>
          <w:sz w:val="18"/>
          <w:szCs w:val="18"/>
        </w:rPr>
      </w:pPr>
      <w:r w:rsidRPr="00874189">
        <w:rPr>
          <w:sz w:val="18"/>
          <w:szCs w:val="18"/>
        </w:rPr>
        <w:t>47.</w:t>
      </w:r>
      <w:r w:rsidRPr="00874189">
        <w:rPr>
          <w:sz w:val="18"/>
          <w:szCs w:val="18"/>
        </w:rPr>
        <w:tab/>
        <w:t xml:space="preserve">Green, D. M. &amp; Swets, J. A. </w:t>
      </w:r>
      <w:r w:rsidRPr="00874189">
        <w:rPr>
          <w:i/>
          <w:iCs/>
          <w:sz w:val="18"/>
          <w:szCs w:val="18"/>
        </w:rPr>
        <w:t>Signal Detection Theory and Psychophysics</w:t>
      </w:r>
      <w:r w:rsidRPr="00874189">
        <w:rPr>
          <w:sz w:val="18"/>
          <w:szCs w:val="18"/>
        </w:rPr>
        <w:t>. (Wiley &amp; Sons, Inc., 1966).</w:t>
      </w:r>
    </w:p>
    <w:p w14:paraId="65353D27" w14:textId="77777777" w:rsidR="00572DCE" w:rsidRPr="00874189" w:rsidRDefault="00572DCE" w:rsidP="00B67DE2">
      <w:pPr>
        <w:pStyle w:val="Bibliography"/>
        <w:spacing w:line="240" w:lineRule="auto"/>
        <w:rPr>
          <w:sz w:val="18"/>
          <w:szCs w:val="18"/>
        </w:rPr>
      </w:pPr>
      <w:r w:rsidRPr="00874189">
        <w:rPr>
          <w:sz w:val="18"/>
          <w:szCs w:val="18"/>
        </w:rPr>
        <w:t>48.</w:t>
      </w:r>
      <w:r w:rsidRPr="00874189">
        <w:rPr>
          <w:sz w:val="18"/>
          <w:szCs w:val="18"/>
        </w:rPr>
        <w:tab/>
        <w:t xml:space="preserve">Koriat, A. The self-consistency model of subjective confidence. </w:t>
      </w:r>
      <w:r w:rsidRPr="00874189">
        <w:rPr>
          <w:i/>
          <w:iCs/>
          <w:sz w:val="18"/>
          <w:szCs w:val="18"/>
        </w:rPr>
        <w:t>Psychol. Rev.</w:t>
      </w:r>
      <w:r w:rsidRPr="00874189">
        <w:rPr>
          <w:sz w:val="18"/>
          <w:szCs w:val="18"/>
        </w:rPr>
        <w:t xml:space="preserve"> </w:t>
      </w:r>
      <w:r w:rsidRPr="00874189">
        <w:rPr>
          <w:b/>
          <w:bCs/>
          <w:sz w:val="18"/>
          <w:szCs w:val="18"/>
        </w:rPr>
        <w:t>119</w:t>
      </w:r>
      <w:r w:rsidRPr="00874189">
        <w:rPr>
          <w:sz w:val="18"/>
          <w:szCs w:val="18"/>
        </w:rPr>
        <w:t>, 80–113 (2012).</w:t>
      </w:r>
    </w:p>
    <w:p w14:paraId="4677E772" w14:textId="77777777" w:rsidR="00572DCE" w:rsidRPr="00874189" w:rsidRDefault="00572DCE" w:rsidP="00B67DE2">
      <w:pPr>
        <w:pStyle w:val="Bibliography"/>
        <w:spacing w:line="240" w:lineRule="auto"/>
        <w:rPr>
          <w:sz w:val="18"/>
          <w:szCs w:val="18"/>
        </w:rPr>
      </w:pPr>
      <w:r w:rsidRPr="00874189">
        <w:rPr>
          <w:sz w:val="18"/>
          <w:szCs w:val="18"/>
        </w:rPr>
        <w:t>49.</w:t>
      </w:r>
      <w:r w:rsidRPr="00874189">
        <w:rPr>
          <w:sz w:val="18"/>
          <w:szCs w:val="18"/>
        </w:rPr>
        <w:tab/>
        <w:t xml:space="preserve">He, G., Chen, S., Lin, H. &amp; Su, A. The  association between initial metacognition and   subsequent academic achievement: a meta-analysis of longitudinal studies. </w:t>
      </w:r>
      <w:r w:rsidRPr="00874189">
        <w:rPr>
          <w:i/>
          <w:iCs/>
          <w:sz w:val="18"/>
          <w:szCs w:val="18"/>
        </w:rPr>
        <w:t>Educ. Psychol. Rev.</w:t>
      </w:r>
      <w:r w:rsidRPr="00874189">
        <w:rPr>
          <w:sz w:val="18"/>
          <w:szCs w:val="18"/>
        </w:rPr>
        <w:t xml:space="preserve"> </w:t>
      </w:r>
      <w:r w:rsidRPr="00874189">
        <w:rPr>
          <w:b/>
          <w:bCs/>
          <w:sz w:val="18"/>
          <w:szCs w:val="18"/>
        </w:rPr>
        <w:t>36</w:t>
      </w:r>
      <w:r w:rsidRPr="00874189">
        <w:rPr>
          <w:sz w:val="18"/>
          <w:szCs w:val="18"/>
        </w:rPr>
        <w:t>, 81 (2024).</w:t>
      </w:r>
    </w:p>
    <w:p w14:paraId="00F6D7EF" w14:textId="77777777" w:rsidR="00572DCE" w:rsidRPr="00874189" w:rsidRDefault="00572DCE" w:rsidP="00B67DE2">
      <w:pPr>
        <w:pStyle w:val="Bibliography"/>
        <w:spacing w:line="240" w:lineRule="auto"/>
        <w:rPr>
          <w:sz w:val="18"/>
          <w:szCs w:val="18"/>
        </w:rPr>
      </w:pPr>
      <w:r w:rsidRPr="00874189">
        <w:rPr>
          <w:sz w:val="18"/>
          <w:szCs w:val="18"/>
        </w:rPr>
        <w:t>50.</w:t>
      </w:r>
      <w:r w:rsidRPr="00874189">
        <w:rPr>
          <w:sz w:val="18"/>
          <w:szCs w:val="18"/>
        </w:rPr>
        <w:tab/>
        <w:t xml:space="preserve">Ohtani, K. &amp; Hisasaka, T. Beyond intelligence: a meta-analytic review of the relationship among metacognition, intelligence, and academic performance. </w:t>
      </w:r>
      <w:r w:rsidRPr="00874189">
        <w:rPr>
          <w:i/>
          <w:iCs/>
          <w:sz w:val="18"/>
          <w:szCs w:val="18"/>
        </w:rPr>
        <w:t>Metacognition Learn.</w:t>
      </w:r>
      <w:r w:rsidRPr="00874189">
        <w:rPr>
          <w:sz w:val="18"/>
          <w:szCs w:val="18"/>
        </w:rPr>
        <w:t xml:space="preserve"> </w:t>
      </w:r>
      <w:r w:rsidRPr="00874189">
        <w:rPr>
          <w:b/>
          <w:bCs/>
          <w:sz w:val="18"/>
          <w:szCs w:val="18"/>
        </w:rPr>
        <w:t>13</w:t>
      </w:r>
      <w:r w:rsidRPr="00874189">
        <w:rPr>
          <w:sz w:val="18"/>
          <w:szCs w:val="18"/>
        </w:rPr>
        <w:t>, 179–212 (2018).</w:t>
      </w:r>
    </w:p>
    <w:p w14:paraId="18C6A54C" w14:textId="77777777" w:rsidR="00572DCE" w:rsidRPr="00874189" w:rsidRDefault="00572DCE" w:rsidP="00B67DE2">
      <w:pPr>
        <w:pStyle w:val="Bibliography"/>
        <w:spacing w:line="240" w:lineRule="auto"/>
        <w:rPr>
          <w:sz w:val="18"/>
          <w:szCs w:val="18"/>
        </w:rPr>
      </w:pPr>
      <w:r w:rsidRPr="00874189">
        <w:rPr>
          <w:sz w:val="18"/>
          <w:szCs w:val="18"/>
        </w:rPr>
        <w:t>51.</w:t>
      </w:r>
      <w:r w:rsidRPr="00874189">
        <w:rPr>
          <w:sz w:val="18"/>
          <w:szCs w:val="18"/>
        </w:rPr>
        <w:tab/>
        <w:t xml:space="preserve">McWilliams, A., Bibby, H., Steinbeis, N., David, A. S. &amp; Fleming, S. M. Age-related decreases in global metacognition are independent of local metacognition and task performance. </w:t>
      </w:r>
      <w:r w:rsidRPr="00874189">
        <w:rPr>
          <w:i/>
          <w:iCs/>
          <w:sz w:val="18"/>
          <w:szCs w:val="18"/>
        </w:rPr>
        <w:t>Cognition</w:t>
      </w:r>
      <w:r w:rsidRPr="00874189">
        <w:rPr>
          <w:sz w:val="18"/>
          <w:szCs w:val="18"/>
        </w:rPr>
        <w:t xml:space="preserve"> </w:t>
      </w:r>
      <w:r w:rsidRPr="00874189">
        <w:rPr>
          <w:b/>
          <w:bCs/>
          <w:sz w:val="18"/>
          <w:szCs w:val="18"/>
        </w:rPr>
        <w:t>235</w:t>
      </w:r>
      <w:r w:rsidRPr="00874189">
        <w:rPr>
          <w:sz w:val="18"/>
          <w:szCs w:val="18"/>
        </w:rPr>
        <w:t>, 105389 (2023).</w:t>
      </w:r>
    </w:p>
    <w:p w14:paraId="17C0144D" w14:textId="77777777" w:rsidR="00572DCE" w:rsidRPr="00874189" w:rsidRDefault="00572DCE" w:rsidP="00B67DE2">
      <w:pPr>
        <w:pStyle w:val="Bibliography"/>
        <w:spacing w:line="240" w:lineRule="auto"/>
        <w:rPr>
          <w:sz w:val="18"/>
          <w:szCs w:val="18"/>
        </w:rPr>
      </w:pPr>
      <w:r w:rsidRPr="00874189">
        <w:rPr>
          <w:sz w:val="18"/>
          <w:szCs w:val="18"/>
        </w:rPr>
        <w:t>52.</w:t>
      </w:r>
      <w:r w:rsidRPr="00874189">
        <w:rPr>
          <w:sz w:val="18"/>
          <w:szCs w:val="18"/>
        </w:rPr>
        <w:tab/>
        <w:t>The Math Works Inc. MATLAB. The Math Works Inc. (2019).</w:t>
      </w:r>
    </w:p>
    <w:p w14:paraId="3ED79C16" w14:textId="77777777" w:rsidR="00572DCE" w:rsidRPr="00874189" w:rsidRDefault="00572DCE" w:rsidP="00B67DE2">
      <w:pPr>
        <w:pStyle w:val="Bibliography"/>
        <w:spacing w:line="240" w:lineRule="auto"/>
        <w:rPr>
          <w:sz w:val="18"/>
          <w:szCs w:val="18"/>
        </w:rPr>
      </w:pPr>
      <w:r w:rsidRPr="00874189">
        <w:rPr>
          <w:sz w:val="18"/>
          <w:szCs w:val="18"/>
        </w:rPr>
        <w:t>53.</w:t>
      </w:r>
      <w:r w:rsidRPr="00874189">
        <w:rPr>
          <w:sz w:val="18"/>
          <w:szCs w:val="18"/>
        </w:rPr>
        <w:tab/>
        <w:t xml:space="preserve">Brady, T. F., Konkle, T., Alvarez, G. A. &amp; Oliva, A. Real-world objects are not represented as bound units: Independent forgetting of different object details from visual memory. </w:t>
      </w:r>
      <w:r w:rsidRPr="00874189">
        <w:rPr>
          <w:i/>
          <w:iCs/>
          <w:sz w:val="18"/>
          <w:szCs w:val="18"/>
        </w:rPr>
        <w:t>J. Exp. Psychol. Gen.</w:t>
      </w:r>
      <w:r w:rsidRPr="00874189">
        <w:rPr>
          <w:sz w:val="18"/>
          <w:szCs w:val="18"/>
        </w:rPr>
        <w:t xml:space="preserve"> </w:t>
      </w:r>
      <w:r w:rsidRPr="00874189">
        <w:rPr>
          <w:b/>
          <w:bCs/>
          <w:sz w:val="18"/>
          <w:szCs w:val="18"/>
        </w:rPr>
        <w:t>142</w:t>
      </w:r>
      <w:r w:rsidRPr="00874189">
        <w:rPr>
          <w:sz w:val="18"/>
          <w:szCs w:val="18"/>
        </w:rPr>
        <w:t>, 791–808 (2013).</w:t>
      </w:r>
    </w:p>
    <w:p w14:paraId="708BCC79" w14:textId="77777777" w:rsidR="00572DCE" w:rsidRPr="00874189" w:rsidRDefault="00572DCE" w:rsidP="00B67DE2">
      <w:pPr>
        <w:pStyle w:val="Bibliography"/>
        <w:spacing w:line="240" w:lineRule="auto"/>
        <w:rPr>
          <w:sz w:val="18"/>
          <w:szCs w:val="18"/>
        </w:rPr>
      </w:pPr>
      <w:r w:rsidRPr="00874189">
        <w:rPr>
          <w:sz w:val="18"/>
          <w:szCs w:val="18"/>
        </w:rPr>
        <w:t>54.</w:t>
      </w:r>
      <w:r w:rsidRPr="00874189">
        <w:rPr>
          <w:sz w:val="18"/>
          <w:szCs w:val="18"/>
        </w:rPr>
        <w:tab/>
        <w:t xml:space="preserve">Rossion, G. &amp; Poutois, B. Revisiting Snodgrass and Vanderwart’s Object Pictorial Set: The Role of Surface Detail in Basic-Level Object Recognition - Bruno Rossion, Gilles Pourtois, 2004. </w:t>
      </w:r>
      <w:r w:rsidRPr="00874189">
        <w:rPr>
          <w:i/>
          <w:iCs/>
          <w:sz w:val="18"/>
          <w:szCs w:val="18"/>
        </w:rPr>
        <w:t>Perception</w:t>
      </w:r>
      <w:r w:rsidRPr="00874189">
        <w:rPr>
          <w:sz w:val="18"/>
          <w:szCs w:val="18"/>
        </w:rPr>
        <w:t xml:space="preserve"> </w:t>
      </w:r>
      <w:r w:rsidRPr="00874189">
        <w:rPr>
          <w:b/>
          <w:bCs/>
          <w:sz w:val="18"/>
          <w:szCs w:val="18"/>
        </w:rPr>
        <w:t>33</w:t>
      </w:r>
      <w:r w:rsidRPr="00874189">
        <w:rPr>
          <w:sz w:val="18"/>
          <w:szCs w:val="18"/>
        </w:rPr>
        <w:t>, 217–236 (2004).</w:t>
      </w:r>
    </w:p>
    <w:p w14:paraId="3E302343" w14:textId="77777777" w:rsidR="00572DCE" w:rsidRPr="00874189" w:rsidRDefault="00572DCE" w:rsidP="00B67DE2">
      <w:pPr>
        <w:pStyle w:val="Bibliography"/>
        <w:spacing w:line="240" w:lineRule="auto"/>
        <w:rPr>
          <w:sz w:val="18"/>
          <w:szCs w:val="18"/>
        </w:rPr>
      </w:pPr>
      <w:r w:rsidRPr="00874189">
        <w:rPr>
          <w:sz w:val="18"/>
          <w:szCs w:val="18"/>
        </w:rPr>
        <w:t>55.</w:t>
      </w:r>
      <w:r w:rsidRPr="00874189">
        <w:rPr>
          <w:sz w:val="18"/>
          <w:szCs w:val="18"/>
        </w:rPr>
        <w:tab/>
        <w:t xml:space="preserve">Odic, D. Children’s intuitive sense of number develops independently of their perception of area, density, length, and time. </w:t>
      </w:r>
      <w:r w:rsidRPr="00874189">
        <w:rPr>
          <w:i/>
          <w:iCs/>
          <w:sz w:val="18"/>
          <w:szCs w:val="18"/>
        </w:rPr>
        <w:t>Dev. Sci.</w:t>
      </w:r>
      <w:r w:rsidRPr="00874189">
        <w:rPr>
          <w:sz w:val="18"/>
          <w:szCs w:val="18"/>
        </w:rPr>
        <w:t xml:space="preserve"> </w:t>
      </w:r>
      <w:r w:rsidRPr="00874189">
        <w:rPr>
          <w:b/>
          <w:bCs/>
          <w:sz w:val="18"/>
          <w:szCs w:val="18"/>
        </w:rPr>
        <w:t>21</w:t>
      </w:r>
      <w:r w:rsidRPr="00874189">
        <w:rPr>
          <w:sz w:val="18"/>
          <w:szCs w:val="18"/>
        </w:rPr>
        <w:t>, e12533 (2018).</w:t>
      </w:r>
    </w:p>
    <w:p w14:paraId="57C58AFE" w14:textId="77777777" w:rsidR="00572DCE" w:rsidRPr="00874189" w:rsidRDefault="00572DCE" w:rsidP="00B67DE2">
      <w:pPr>
        <w:pStyle w:val="Bibliography"/>
        <w:spacing w:line="240" w:lineRule="auto"/>
        <w:rPr>
          <w:sz w:val="18"/>
          <w:szCs w:val="18"/>
        </w:rPr>
      </w:pPr>
      <w:r w:rsidRPr="00874189">
        <w:rPr>
          <w:sz w:val="18"/>
          <w:szCs w:val="18"/>
        </w:rPr>
        <w:t>56.</w:t>
      </w:r>
      <w:r w:rsidRPr="00874189">
        <w:rPr>
          <w:sz w:val="18"/>
          <w:szCs w:val="18"/>
        </w:rPr>
        <w:tab/>
        <w:t xml:space="preserve">Lyons, K. E. &amp; Ghetti, S. I don’t want to pick! Introspection on uncertainty supports early strategic behavior. </w:t>
      </w:r>
      <w:r w:rsidRPr="00874189">
        <w:rPr>
          <w:i/>
          <w:iCs/>
          <w:sz w:val="18"/>
          <w:szCs w:val="18"/>
        </w:rPr>
        <w:t>Child Dev.</w:t>
      </w:r>
      <w:r w:rsidRPr="00874189">
        <w:rPr>
          <w:sz w:val="18"/>
          <w:szCs w:val="18"/>
        </w:rPr>
        <w:t xml:space="preserve"> </w:t>
      </w:r>
      <w:r w:rsidRPr="00874189">
        <w:rPr>
          <w:b/>
          <w:bCs/>
          <w:sz w:val="18"/>
          <w:szCs w:val="18"/>
        </w:rPr>
        <w:t>84</w:t>
      </w:r>
      <w:r w:rsidRPr="00874189">
        <w:rPr>
          <w:sz w:val="18"/>
          <w:szCs w:val="18"/>
        </w:rPr>
        <w:t>, 726–736 (2013).</w:t>
      </w:r>
    </w:p>
    <w:p w14:paraId="50722151" w14:textId="77777777" w:rsidR="00572DCE" w:rsidRPr="00874189" w:rsidRDefault="00572DCE" w:rsidP="00B67DE2">
      <w:pPr>
        <w:pStyle w:val="Bibliography"/>
        <w:spacing w:line="240" w:lineRule="auto"/>
        <w:rPr>
          <w:sz w:val="18"/>
          <w:szCs w:val="18"/>
        </w:rPr>
      </w:pPr>
      <w:r w:rsidRPr="00874189">
        <w:rPr>
          <w:sz w:val="18"/>
          <w:szCs w:val="18"/>
        </w:rPr>
        <w:t>57.</w:t>
      </w:r>
      <w:r w:rsidRPr="00874189">
        <w:rPr>
          <w:sz w:val="18"/>
          <w:szCs w:val="18"/>
        </w:rPr>
        <w:tab/>
        <w:t xml:space="preserve">Maniscalco, B. &amp; Lau, H. A signal detection theoretic approach for estimating metacognitive sensitivity from confidence ratings. </w:t>
      </w:r>
      <w:r w:rsidRPr="00874189">
        <w:rPr>
          <w:i/>
          <w:iCs/>
          <w:sz w:val="18"/>
          <w:szCs w:val="18"/>
        </w:rPr>
        <w:t>Conscious. Cogn.</w:t>
      </w:r>
      <w:r w:rsidRPr="00874189">
        <w:rPr>
          <w:sz w:val="18"/>
          <w:szCs w:val="18"/>
        </w:rPr>
        <w:t xml:space="preserve"> </w:t>
      </w:r>
      <w:r w:rsidRPr="00874189">
        <w:rPr>
          <w:b/>
          <w:bCs/>
          <w:sz w:val="18"/>
          <w:szCs w:val="18"/>
        </w:rPr>
        <w:t>21</w:t>
      </w:r>
      <w:r w:rsidRPr="00874189">
        <w:rPr>
          <w:sz w:val="18"/>
          <w:szCs w:val="18"/>
        </w:rPr>
        <w:t>, 422–430 (2012).</w:t>
      </w:r>
    </w:p>
    <w:p w14:paraId="4575019C" w14:textId="77777777" w:rsidR="00572DCE" w:rsidRPr="00874189" w:rsidRDefault="00572DCE" w:rsidP="00B67DE2">
      <w:pPr>
        <w:pStyle w:val="Bibliography"/>
        <w:spacing w:line="240" w:lineRule="auto"/>
        <w:rPr>
          <w:sz w:val="18"/>
          <w:szCs w:val="18"/>
        </w:rPr>
      </w:pPr>
      <w:r w:rsidRPr="00874189">
        <w:rPr>
          <w:sz w:val="18"/>
          <w:szCs w:val="18"/>
        </w:rPr>
        <w:t>58.</w:t>
      </w:r>
      <w:r w:rsidRPr="00874189">
        <w:rPr>
          <w:sz w:val="18"/>
          <w:szCs w:val="18"/>
        </w:rPr>
        <w:tab/>
        <w:t xml:space="preserve">Rahnev, D. A comprehensive assessment of current methods for measuring metacognition. </w:t>
      </w:r>
      <w:r w:rsidRPr="00874189">
        <w:rPr>
          <w:i/>
          <w:iCs/>
          <w:sz w:val="18"/>
          <w:szCs w:val="18"/>
        </w:rPr>
        <w:t>Nat. Commun.</w:t>
      </w:r>
      <w:r w:rsidRPr="00874189">
        <w:rPr>
          <w:sz w:val="18"/>
          <w:szCs w:val="18"/>
        </w:rPr>
        <w:t xml:space="preserve"> </w:t>
      </w:r>
      <w:r w:rsidRPr="00874189">
        <w:rPr>
          <w:b/>
          <w:bCs/>
          <w:sz w:val="18"/>
          <w:szCs w:val="18"/>
        </w:rPr>
        <w:t>16</w:t>
      </w:r>
      <w:r w:rsidRPr="00874189">
        <w:rPr>
          <w:sz w:val="18"/>
          <w:szCs w:val="18"/>
        </w:rPr>
        <w:t>, 701 (2025).</w:t>
      </w:r>
    </w:p>
    <w:p w14:paraId="34CB87B4" w14:textId="77777777" w:rsidR="00572DCE" w:rsidRPr="00874189" w:rsidRDefault="00572DCE" w:rsidP="00B67DE2">
      <w:pPr>
        <w:pStyle w:val="Bibliography"/>
        <w:spacing w:line="240" w:lineRule="auto"/>
        <w:rPr>
          <w:sz w:val="18"/>
          <w:szCs w:val="18"/>
        </w:rPr>
      </w:pPr>
      <w:r w:rsidRPr="00874189">
        <w:rPr>
          <w:sz w:val="18"/>
          <w:szCs w:val="18"/>
        </w:rPr>
        <w:t>59.</w:t>
      </w:r>
      <w:r w:rsidRPr="00874189">
        <w:rPr>
          <w:sz w:val="18"/>
          <w:szCs w:val="18"/>
        </w:rPr>
        <w:tab/>
        <w:t xml:space="preserve">Fleming, S. M. HMeta-d: hierarchical Bayesian estimation of metacognitive efficiency from confidence ratings. </w:t>
      </w:r>
      <w:r w:rsidRPr="00874189">
        <w:rPr>
          <w:i/>
          <w:iCs/>
          <w:sz w:val="18"/>
          <w:szCs w:val="18"/>
        </w:rPr>
        <w:t>Neurosci. Conscious.</w:t>
      </w:r>
      <w:r w:rsidRPr="00874189">
        <w:rPr>
          <w:sz w:val="18"/>
          <w:szCs w:val="18"/>
        </w:rPr>
        <w:t xml:space="preserve"> </w:t>
      </w:r>
      <w:r w:rsidRPr="00874189">
        <w:rPr>
          <w:b/>
          <w:bCs/>
          <w:sz w:val="18"/>
          <w:szCs w:val="18"/>
        </w:rPr>
        <w:t>1</w:t>
      </w:r>
      <w:r w:rsidRPr="00874189">
        <w:rPr>
          <w:sz w:val="18"/>
          <w:szCs w:val="18"/>
        </w:rPr>
        <w:t>, nix007 (2017).</w:t>
      </w:r>
    </w:p>
    <w:p w14:paraId="7F21C98C" w14:textId="77777777" w:rsidR="00572DCE" w:rsidRPr="00874189" w:rsidRDefault="00572DCE" w:rsidP="00B67DE2">
      <w:pPr>
        <w:pStyle w:val="Bibliography"/>
        <w:spacing w:line="240" w:lineRule="auto"/>
        <w:rPr>
          <w:sz w:val="18"/>
          <w:szCs w:val="18"/>
        </w:rPr>
      </w:pPr>
      <w:r w:rsidRPr="00874189">
        <w:rPr>
          <w:sz w:val="18"/>
          <w:szCs w:val="18"/>
        </w:rPr>
        <w:t>60.</w:t>
      </w:r>
      <w:r w:rsidRPr="00874189">
        <w:rPr>
          <w:sz w:val="18"/>
          <w:szCs w:val="18"/>
        </w:rPr>
        <w:tab/>
        <w:t xml:space="preserve">Rausch, M. &amp; Zehetleitner, M. Evaluating false positive rates of standard and hierarchical measures of metacognitive accuracy. </w:t>
      </w:r>
      <w:r w:rsidRPr="00874189">
        <w:rPr>
          <w:i/>
          <w:iCs/>
          <w:sz w:val="18"/>
          <w:szCs w:val="18"/>
        </w:rPr>
        <w:t>Metacognition Learn.</w:t>
      </w:r>
      <w:r w:rsidRPr="00874189">
        <w:rPr>
          <w:sz w:val="18"/>
          <w:szCs w:val="18"/>
        </w:rPr>
        <w:t xml:space="preserve"> </w:t>
      </w:r>
      <w:r w:rsidRPr="00874189">
        <w:rPr>
          <w:b/>
          <w:bCs/>
          <w:sz w:val="18"/>
          <w:szCs w:val="18"/>
        </w:rPr>
        <w:t>18</w:t>
      </w:r>
      <w:r w:rsidRPr="00874189">
        <w:rPr>
          <w:sz w:val="18"/>
          <w:szCs w:val="18"/>
        </w:rPr>
        <w:t>, 863–889 (2023).</w:t>
      </w:r>
    </w:p>
    <w:p w14:paraId="4E3DF2CD" w14:textId="77777777" w:rsidR="00572DCE" w:rsidRPr="00874189" w:rsidRDefault="00572DCE" w:rsidP="00B67DE2">
      <w:pPr>
        <w:pStyle w:val="Bibliography"/>
        <w:spacing w:line="240" w:lineRule="auto"/>
        <w:rPr>
          <w:sz w:val="18"/>
          <w:szCs w:val="18"/>
        </w:rPr>
      </w:pPr>
      <w:r w:rsidRPr="00874189">
        <w:rPr>
          <w:sz w:val="18"/>
          <w:szCs w:val="18"/>
        </w:rPr>
        <w:t>61.</w:t>
      </w:r>
      <w:r w:rsidRPr="00874189">
        <w:rPr>
          <w:sz w:val="18"/>
          <w:szCs w:val="18"/>
        </w:rPr>
        <w:tab/>
        <w:t xml:space="preserve">Wagenmakers, E.-J. </w:t>
      </w:r>
      <w:r w:rsidRPr="00874189">
        <w:rPr>
          <w:i/>
          <w:iCs/>
          <w:sz w:val="18"/>
          <w:szCs w:val="18"/>
        </w:rPr>
        <w:t>et al.</w:t>
      </w:r>
      <w:r w:rsidRPr="00874189">
        <w:rPr>
          <w:sz w:val="18"/>
          <w:szCs w:val="18"/>
        </w:rPr>
        <w:t xml:space="preserve"> Bayesian inference for psychology. Part I: Theoretical advantages and practical ramifications. </w:t>
      </w:r>
      <w:r w:rsidRPr="00874189">
        <w:rPr>
          <w:i/>
          <w:iCs/>
          <w:sz w:val="18"/>
          <w:szCs w:val="18"/>
        </w:rPr>
        <w:t>Psychon. Bull. Rev.</w:t>
      </w:r>
      <w:r w:rsidRPr="00874189">
        <w:rPr>
          <w:sz w:val="18"/>
          <w:szCs w:val="18"/>
        </w:rPr>
        <w:t xml:space="preserve"> </w:t>
      </w:r>
      <w:r w:rsidRPr="00874189">
        <w:rPr>
          <w:b/>
          <w:bCs/>
          <w:sz w:val="18"/>
          <w:szCs w:val="18"/>
        </w:rPr>
        <w:t>25</w:t>
      </w:r>
      <w:r w:rsidRPr="00874189">
        <w:rPr>
          <w:sz w:val="18"/>
          <w:szCs w:val="18"/>
        </w:rPr>
        <w:t>, 35–57 (2018).</w:t>
      </w:r>
    </w:p>
    <w:p w14:paraId="39986E87" w14:textId="77777777" w:rsidR="00572DCE" w:rsidRPr="00874189" w:rsidRDefault="00572DCE" w:rsidP="00B67DE2">
      <w:pPr>
        <w:pStyle w:val="Bibliography"/>
        <w:spacing w:line="240" w:lineRule="auto"/>
        <w:rPr>
          <w:sz w:val="18"/>
          <w:szCs w:val="18"/>
        </w:rPr>
      </w:pPr>
      <w:r w:rsidRPr="00874189">
        <w:rPr>
          <w:sz w:val="18"/>
          <w:szCs w:val="18"/>
        </w:rPr>
        <w:t>62.</w:t>
      </w:r>
      <w:r w:rsidRPr="00874189">
        <w:rPr>
          <w:sz w:val="18"/>
          <w:szCs w:val="18"/>
        </w:rPr>
        <w:tab/>
        <w:t xml:space="preserve">Peirce, J. </w:t>
      </w:r>
      <w:r w:rsidRPr="00874189">
        <w:rPr>
          <w:i/>
          <w:iCs/>
          <w:sz w:val="18"/>
          <w:szCs w:val="18"/>
        </w:rPr>
        <w:t>et al.</w:t>
      </w:r>
      <w:r w:rsidRPr="00874189">
        <w:rPr>
          <w:sz w:val="18"/>
          <w:szCs w:val="18"/>
        </w:rPr>
        <w:t xml:space="preserve"> PsychoPy2: Experiments in behavior made easy. </w:t>
      </w:r>
      <w:r w:rsidRPr="00874189">
        <w:rPr>
          <w:i/>
          <w:iCs/>
          <w:sz w:val="18"/>
          <w:szCs w:val="18"/>
        </w:rPr>
        <w:t>Behav. Res. Methods</w:t>
      </w:r>
      <w:r w:rsidRPr="00874189">
        <w:rPr>
          <w:sz w:val="18"/>
          <w:szCs w:val="18"/>
        </w:rPr>
        <w:t xml:space="preserve"> </w:t>
      </w:r>
      <w:r w:rsidRPr="00874189">
        <w:rPr>
          <w:b/>
          <w:bCs/>
          <w:sz w:val="18"/>
          <w:szCs w:val="18"/>
        </w:rPr>
        <w:t>51</w:t>
      </w:r>
      <w:r w:rsidRPr="00874189">
        <w:rPr>
          <w:sz w:val="18"/>
          <w:szCs w:val="18"/>
        </w:rPr>
        <w:t>, 195–203 (2019).</w:t>
      </w:r>
    </w:p>
    <w:p w14:paraId="397A7357" w14:textId="6E5C83DA" w:rsidR="0041013A" w:rsidRPr="00874189" w:rsidRDefault="005D51F7" w:rsidP="00B67DE2">
      <w:pPr>
        <w:spacing w:line="240" w:lineRule="auto"/>
        <w:ind w:firstLine="0"/>
        <w:rPr>
          <w:sz w:val="18"/>
          <w:szCs w:val="18"/>
        </w:rPr>
      </w:pPr>
      <w:r w:rsidRPr="00874189">
        <w:rPr>
          <w:sz w:val="18"/>
          <w:szCs w:val="18"/>
        </w:rPr>
        <w:fldChar w:fldCharType="end"/>
      </w:r>
    </w:p>
    <w:sectPr w:rsidR="0041013A" w:rsidRPr="00874189" w:rsidSect="00874189">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9CCC7" w14:textId="77777777" w:rsidR="00D568EB" w:rsidRPr="00636F71" w:rsidRDefault="00D568EB" w:rsidP="00572FE0">
      <w:pPr>
        <w:spacing w:line="240" w:lineRule="auto"/>
      </w:pPr>
      <w:r w:rsidRPr="00636F71">
        <w:separator/>
      </w:r>
    </w:p>
  </w:endnote>
  <w:endnote w:type="continuationSeparator" w:id="0">
    <w:p w14:paraId="2D595E2E" w14:textId="77777777" w:rsidR="00D568EB" w:rsidRPr="00636F71" w:rsidRDefault="00D568EB" w:rsidP="00572FE0">
      <w:pPr>
        <w:spacing w:line="240" w:lineRule="auto"/>
      </w:pPr>
      <w:r w:rsidRPr="00636F7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471D5" w14:textId="77777777" w:rsidR="00D568EB" w:rsidRPr="00636F71" w:rsidRDefault="00D568EB" w:rsidP="00572FE0">
      <w:pPr>
        <w:spacing w:line="240" w:lineRule="auto"/>
      </w:pPr>
      <w:r w:rsidRPr="00636F71">
        <w:separator/>
      </w:r>
    </w:p>
  </w:footnote>
  <w:footnote w:type="continuationSeparator" w:id="0">
    <w:p w14:paraId="5042DD5B" w14:textId="77777777" w:rsidR="00D568EB" w:rsidRPr="00636F71" w:rsidRDefault="00D568EB" w:rsidP="00572FE0">
      <w:pPr>
        <w:spacing w:line="240" w:lineRule="auto"/>
      </w:pPr>
      <w:r w:rsidRPr="00636F7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256320"/>
      <w:docPartObj>
        <w:docPartGallery w:val="Page Numbers (Top of Page)"/>
        <w:docPartUnique/>
      </w:docPartObj>
    </w:sdtPr>
    <w:sdtContent>
      <w:p w14:paraId="007F4F9F" w14:textId="11F87D41" w:rsidR="00AA4023" w:rsidRPr="00636F71" w:rsidRDefault="00AA4023" w:rsidP="00184747">
        <w:pPr>
          <w:pStyle w:val="Header"/>
          <w:jc w:val="right"/>
        </w:pPr>
        <w:r w:rsidRPr="00636F71">
          <w:fldChar w:fldCharType="begin"/>
        </w:r>
        <w:r w:rsidRPr="00636F71">
          <w:instrText xml:space="preserve"> PAGE   \* MERGEFORMAT </w:instrText>
        </w:r>
        <w:r w:rsidRPr="00636F71">
          <w:fldChar w:fldCharType="separate"/>
        </w:r>
        <w:r w:rsidRPr="00636F71">
          <w:t>2</w:t>
        </w:r>
        <w:r w:rsidRPr="00636F71">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1A10"/>
    <w:multiLevelType w:val="hybridMultilevel"/>
    <w:tmpl w:val="AD58A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662F2"/>
    <w:multiLevelType w:val="hybridMultilevel"/>
    <w:tmpl w:val="58121B78"/>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2" w15:restartNumberingAfterBreak="0">
    <w:nsid w:val="098328CF"/>
    <w:multiLevelType w:val="hybridMultilevel"/>
    <w:tmpl w:val="6D365308"/>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 w15:restartNumberingAfterBreak="0">
    <w:nsid w:val="26A6667A"/>
    <w:multiLevelType w:val="hybridMultilevel"/>
    <w:tmpl w:val="F7A4EE10"/>
    <w:lvl w:ilvl="0" w:tplc="707EF5EC">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 w15:restartNumberingAfterBreak="0">
    <w:nsid w:val="29B54D13"/>
    <w:multiLevelType w:val="hybridMultilevel"/>
    <w:tmpl w:val="BD5C085E"/>
    <w:lvl w:ilvl="0" w:tplc="B58E7E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1685F"/>
    <w:multiLevelType w:val="hybridMultilevel"/>
    <w:tmpl w:val="9834793E"/>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6" w15:restartNumberingAfterBreak="0">
    <w:nsid w:val="4ED22262"/>
    <w:multiLevelType w:val="hybridMultilevel"/>
    <w:tmpl w:val="990A89FA"/>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7" w15:restartNumberingAfterBreak="0">
    <w:nsid w:val="677F4402"/>
    <w:multiLevelType w:val="hybridMultilevel"/>
    <w:tmpl w:val="8032917E"/>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78D30DC9"/>
    <w:multiLevelType w:val="hybridMultilevel"/>
    <w:tmpl w:val="31EC90BC"/>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num w:numId="1" w16cid:durableId="386532016">
    <w:abstractNumId w:val="6"/>
  </w:num>
  <w:num w:numId="2" w16cid:durableId="832449718">
    <w:abstractNumId w:val="8"/>
  </w:num>
  <w:num w:numId="3" w16cid:durableId="1420105772">
    <w:abstractNumId w:val="1"/>
  </w:num>
  <w:num w:numId="4" w16cid:durableId="1370908549">
    <w:abstractNumId w:val="5"/>
  </w:num>
  <w:num w:numId="5" w16cid:durableId="179205123">
    <w:abstractNumId w:val="7"/>
  </w:num>
  <w:num w:numId="6" w16cid:durableId="478301045">
    <w:abstractNumId w:val="2"/>
  </w:num>
  <w:num w:numId="7" w16cid:durableId="1320964813">
    <w:abstractNumId w:val="4"/>
  </w:num>
  <w:num w:numId="8" w16cid:durableId="1561861033">
    <w:abstractNumId w:val="0"/>
  </w:num>
  <w:num w:numId="9" w16cid:durableId="1126776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38"/>
    <w:rsid w:val="00001DAD"/>
    <w:rsid w:val="000054E2"/>
    <w:rsid w:val="00005BB0"/>
    <w:rsid w:val="000077A4"/>
    <w:rsid w:val="00012F5A"/>
    <w:rsid w:val="00013263"/>
    <w:rsid w:val="0001587F"/>
    <w:rsid w:val="00015A68"/>
    <w:rsid w:val="00016348"/>
    <w:rsid w:val="00016E2C"/>
    <w:rsid w:val="00026622"/>
    <w:rsid w:val="00026877"/>
    <w:rsid w:val="00033D20"/>
    <w:rsid w:val="0003763A"/>
    <w:rsid w:val="0004425A"/>
    <w:rsid w:val="00044F59"/>
    <w:rsid w:val="00050328"/>
    <w:rsid w:val="0005073E"/>
    <w:rsid w:val="00051380"/>
    <w:rsid w:val="00056712"/>
    <w:rsid w:val="00057776"/>
    <w:rsid w:val="00061564"/>
    <w:rsid w:val="00066E8F"/>
    <w:rsid w:val="00080BBB"/>
    <w:rsid w:val="00081B35"/>
    <w:rsid w:val="000822E3"/>
    <w:rsid w:val="00083DE4"/>
    <w:rsid w:val="00090117"/>
    <w:rsid w:val="00092C70"/>
    <w:rsid w:val="000978AF"/>
    <w:rsid w:val="00097E93"/>
    <w:rsid w:val="000A088A"/>
    <w:rsid w:val="000B2B7A"/>
    <w:rsid w:val="000D0E68"/>
    <w:rsid w:val="000D4FFA"/>
    <w:rsid w:val="000D61FD"/>
    <w:rsid w:val="000E1B7A"/>
    <w:rsid w:val="000F321E"/>
    <w:rsid w:val="000F377C"/>
    <w:rsid w:val="000F7813"/>
    <w:rsid w:val="00101718"/>
    <w:rsid w:val="001018A0"/>
    <w:rsid w:val="00111D63"/>
    <w:rsid w:val="00112907"/>
    <w:rsid w:val="00117F0D"/>
    <w:rsid w:val="00120F2A"/>
    <w:rsid w:val="0012558D"/>
    <w:rsid w:val="00134AE0"/>
    <w:rsid w:val="00136A4E"/>
    <w:rsid w:val="0015250F"/>
    <w:rsid w:val="001529A6"/>
    <w:rsid w:val="00157D74"/>
    <w:rsid w:val="00160CCE"/>
    <w:rsid w:val="001610BB"/>
    <w:rsid w:val="001637CD"/>
    <w:rsid w:val="00165BDE"/>
    <w:rsid w:val="001729EB"/>
    <w:rsid w:val="001776AE"/>
    <w:rsid w:val="00184747"/>
    <w:rsid w:val="00187F27"/>
    <w:rsid w:val="00193A9D"/>
    <w:rsid w:val="001958B8"/>
    <w:rsid w:val="001A3635"/>
    <w:rsid w:val="001B333E"/>
    <w:rsid w:val="001B55FB"/>
    <w:rsid w:val="001C286E"/>
    <w:rsid w:val="001C2B5D"/>
    <w:rsid w:val="001C384C"/>
    <w:rsid w:val="001D6F10"/>
    <w:rsid w:val="001D7DBD"/>
    <w:rsid w:val="001E79E6"/>
    <w:rsid w:val="001F1D1C"/>
    <w:rsid w:val="001F2316"/>
    <w:rsid w:val="001F3365"/>
    <w:rsid w:val="001F4A2C"/>
    <w:rsid w:val="001F703F"/>
    <w:rsid w:val="001F7494"/>
    <w:rsid w:val="00202546"/>
    <w:rsid w:val="002029E2"/>
    <w:rsid w:val="00212DB0"/>
    <w:rsid w:val="002137B9"/>
    <w:rsid w:val="00213A38"/>
    <w:rsid w:val="0021400B"/>
    <w:rsid w:val="002168DB"/>
    <w:rsid w:val="00230526"/>
    <w:rsid w:val="00231D23"/>
    <w:rsid w:val="00232BE6"/>
    <w:rsid w:val="00234125"/>
    <w:rsid w:val="00235545"/>
    <w:rsid w:val="00235802"/>
    <w:rsid w:val="0023608F"/>
    <w:rsid w:val="002412C4"/>
    <w:rsid w:val="00242277"/>
    <w:rsid w:val="00244513"/>
    <w:rsid w:val="00251262"/>
    <w:rsid w:val="002560A0"/>
    <w:rsid w:val="00262207"/>
    <w:rsid w:val="00264BC4"/>
    <w:rsid w:val="002707A7"/>
    <w:rsid w:val="00276E53"/>
    <w:rsid w:val="00280588"/>
    <w:rsid w:val="00287D46"/>
    <w:rsid w:val="002904AD"/>
    <w:rsid w:val="00292350"/>
    <w:rsid w:val="002B23D2"/>
    <w:rsid w:val="002B5955"/>
    <w:rsid w:val="002B71BC"/>
    <w:rsid w:val="002C050D"/>
    <w:rsid w:val="002C69B5"/>
    <w:rsid w:val="002D0592"/>
    <w:rsid w:val="002D2168"/>
    <w:rsid w:val="002D2A2B"/>
    <w:rsid w:val="002D424F"/>
    <w:rsid w:val="002D78A4"/>
    <w:rsid w:val="002E1A79"/>
    <w:rsid w:val="002E554E"/>
    <w:rsid w:val="002E55CA"/>
    <w:rsid w:val="002F0D9E"/>
    <w:rsid w:val="002F70C9"/>
    <w:rsid w:val="002F71F3"/>
    <w:rsid w:val="003000E5"/>
    <w:rsid w:val="00300845"/>
    <w:rsid w:val="00300931"/>
    <w:rsid w:val="00300E63"/>
    <w:rsid w:val="00306B28"/>
    <w:rsid w:val="00310C2F"/>
    <w:rsid w:val="00312243"/>
    <w:rsid w:val="00317868"/>
    <w:rsid w:val="003206B1"/>
    <w:rsid w:val="00321E9D"/>
    <w:rsid w:val="00323D35"/>
    <w:rsid w:val="00331A89"/>
    <w:rsid w:val="00344E7D"/>
    <w:rsid w:val="00345FBA"/>
    <w:rsid w:val="00346CE4"/>
    <w:rsid w:val="00347281"/>
    <w:rsid w:val="003474D2"/>
    <w:rsid w:val="00357FAA"/>
    <w:rsid w:val="003619CC"/>
    <w:rsid w:val="00362505"/>
    <w:rsid w:val="0036345B"/>
    <w:rsid w:val="00364F3F"/>
    <w:rsid w:val="0037160B"/>
    <w:rsid w:val="00374600"/>
    <w:rsid w:val="0037747B"/>
    <w:rsid w:val="00380E01"/>
    <w:rsid w:val="00383F81"/>
    <w:rsid w:val="00386B7D"/>
    <w:rsid w:val="0039111B"/>
    <w:rsid w:val="0039756A"/>
    <w:rsid w:val="003A2D47"/>
    <w:rsid w:val="003A42E9"/>
    <w:rsid w:val="003A63FF"/>
    <w:rsid w:val="003B1C31"/>
    <w:rsid w:val="003B2ED1"/>
    <w:rsid w:val="003B3291"/>
    <w:rsid w:val="003B6813"/>
    <w:rsid w:val="003C160C"/>
    <w:rsid w:val="003C4FF6"/>
    <w:rsid w:val="003C67FC"/>
    <w:rsid w:val="003C6E8F"/>
    <w:rsid w:val="003D2E21"/>
    <w:rsid w:val="003D3FF1"/>
    <w:rsid w:val="003D67B4"/>
    <w:rsid w:val="003D7CD5"/>
    <w:rsid w:val="003F12EF"/>
    <w:rsid w:val="003F4D41"/>
    <w:rsid w:val="0040027B"/>
    <w:rsid w:val="004007CC"/>
    <w:rsid w:val="00400B8E"/>
    <w:rsid w:val="00401159"/>
    <w:rsid w:val="0040331A"/>
    <w:rsid w:val="0040356C"/>
    <w:rsid w:val="00406CFA"/>
    <w:rsid w:val="004071ED"/>
    <w:rsid w:val="0041013A"/>
    <w:rsid w:val="00410CB7"/>
    <w:rsid w:val="004125ED"/>
    <w:rsid w:val="00412CFB"/>
    <w:rsid w:val="004145EB"/>
    <w:rsid w:val="00414FA4"/>
    <w:rsid w:val="00424B59"/>
    <w:rsid w:val="004300DB"/>
    <w:rsid w:val="00431A97"/>
    <w:rsid w:val="00432404"/>
    <w:rsid w:val="00433973"/>
    <w:rsid w:val="00434BFE"/>
    <w:rsid w:val="004419A3"/>
    <w:rsid w:val="00444029"/>
    <w:rsid w:val="00444E2A"/>
    <w:rsid w:val="004461C7"/>
    <w:rsid w:val="004477FC"/>
    <w:rsid w:val="00447BEB"/>
    <w:rsid w:val="0045112B"/>
    <w:rsid w:val="00452F90"/>
    <w:rsid w:val="00456945"/>
    <w:rsid w:val="00461818"/>
    <w:rsid w:val="00463DE8"/>
    <w:rsid w:val="0046753D"/>
    <w:rsid w:val="0047303C"/>
    <w:rsid w:val="004840AF"/>
    <w:rsid w:val="004850F3"/>
    <w:rsid w:val="00486808"/>
    <w:rsid w:val="00487F84"/>
    <w:rsid w:val="00491D80"/>
    <w:rsid w:val="00495498"/>
    <w:rsid w:val="00495563"/>
    <w:rsid w:val="004A4938"/>
    <w:rsid w:val="004A68B4"/>
    <w:rsid w:val="004A7BBC"/>
    <w:rsid w:val="004B1D50"/>
    <w:rsid w:val="004B466B"/>
    <w:rsid w:val="004B6178"/>
    <w:rsid w:val="004B74D0"/>
    <w:rsid w:val="004C57BF"/>
    <w:rsid w:val="004D360E"/>
    <w:rsid w:val="004D51EE"/>
    <w:rsid w:val="004D69E4"/>
    <w:rsid w:val="004E1C18"/>
    <w:rsid w:val="004E2732"/>
    <w:rsid w:val="004E6A42"/>
    <w:rsid w:val="004F1841"/>
    <w:rsid w:val="00517B13"/>
    <w:rsid w:val="005229CD"/>
    <w:rsid w:val="005243B7"/>
    <w:rsid w:val="00525262"/>
    <w:rsid w:val="0052616D"/>
    <w:rsid w:val="00527D06"/>
    <w:rsid w:val="00527F1A"/>
    <w:rsid w:val="0053316B"/>
    <w:rsid w:val="00535078"/>
    <w:rsid w:val="00540C77"/>
    <w:rsid w:val="0054212C"/>
    <w:rsid w:val="005435CF"/>
    <w:rsid w:val="00550AD2"/>
    <w:rsid w:val="00554E24"/>
    <w:rsid w:val="00555622"/>
    <w:rsid w:val="005614D0"/>
    <w:rsid w:val="00565518"/>
    <w:rsid w:val="00571E65"/>
    <w:rsid w:val="00572DCE"/>
    <w:rsid w:val="00572FE0"/>
    <w:rsid w:val="00573971"/>
    <w:rsid w:val="00575A0A"/>
    <w:rsid w:val="00580863"/>
    <w:rsid w:val="00581503"/>
    <w:rsid w:val="005815F5"/>
    <w:rsid w:val="00585176"/>
    <w:rsid w:val="00587222"/>
    <w:rsid w:val="00590886"/>
    <w:rsid w:val="005A0821"/>
    <w:rsid w:val="005A326B"/>
    <w:rsid w:val="005A5464"/>
    <w:rsid w:val="005A6D28"/>
    <w:rsid w:val="005A785C"/>
    <w:rsid w:val="005C4218"/>
    <w:rsid w:val="005C53B6"/>
    <w:rsid w:val="005D01DC"/>
    <w:rsid w:val="005D042A"/>
    <w:rsid w:val="005D51F7"/>
    <w:rsid w:val="005D5334"/>
    <w:rsid w:val="005D7522"/>
    <w:rsid w:val="005E0123"/>
    <w:rsid w:val="005E1013"/>
    <w:rsid w:val="005E518A"/>
    <w:rsid w:val="005E5546"/>
    <w:rsid w:val="005F06D0"/>
    <w:rsid w:val="005F228A"/>
    <w:rsid w:val="005F5606"/>
    <w:rsid w:val="00606A5C"/>
    <w:rsid w:val="00607F8E"/>
    <w:rsid w:val="00617427"/>
    <w:rsid w:val="00622B82"/>
    <w:rsid w:val="0062495A"/>
    <w:rsid w:val="0062560B"/>
    <w:rsid w:val="00632B21"/>
    <w:rsid w:val="00633F61"/>
    <w:rsid w:val="006340BF"/>
    <w:rsid w:val="00636018"/>
    <w:rsid w:val="0063644E"/>
    <w:rsid w:val="00636B02"/>
    <w:rsid w:val="00636F71"/>
    <w:rsid w:val="00637BF8"/>
    <w:rsid w:val="00643CBB"/>
    <w:rsid w:val="0064462F"/>
    <w:rsid w:val="00644D85"/>
    <w:rsid w:val="00647BDD"/>
    <w:rsid w:val="00654973"/>
    <w:rsid w:val="00656EC5"/>
    <w:rsid w:val="006659B9"/>
    <w:rsid w:val="0066674C"/>
    <w:rsid w:val="006679C2"/>
    <w:rsid w:val="00670E20"/>
    <w:rsid w:val="00675E33"/>
    <w:rsid w:val="00682B1A"/>
    <w:rsid w:val="00683996"/>
    <w:rsid w:val="00686DA3"/>
    <w:rsid w:val="00690348"/>
    <w:rsid w:val="00695E77"/>
    <w:rsid w:val="006A19CE"/>
    <w:rsid w:val="006A57CD"/>
    <w:rsid w:val="006A69CE"/>
    <w:rsid w:val="006B10D9"/>
    <w:rsid w:val="006B1592"/>
    <w:rsid w:val="006B2456"/>
    <w:rsid w:val="006C1B75"/>
    <w:rsid w:val="006C3ABF"/>
    <w:rsid w:val="006C44D2"/>
    <w:rsid w:val="006D3CE6"/>
    <w:rsid w:val="006E0502"/>
    <w:rsid w:val="006E6650"/>
    <w:rsid w:val="006E753C"/>
    <w:rsid w:val="006F3F50"/>
    <w:rsid w:val="006F4C02"/>
    <w:rsid w:val="006F5B51"/>
    <w:rsid w:val="006F7A06"/>
    <w:rsid w:val="0070749C"/>
    <w:rsid w:val="00707815"/>
    <w:rsid w:val="00707F0F"/>
    <w:rsid w:val="00712611"/>
    <w:rsid w:val="00715225"/>
    <w:rsid w:val="00716BD4"/>
    <w:rsid w:val="00721948"/>
    <w:rsid w:val="00721AD3"/>
    <w:rsid w:val="007227FA"/>
    <w:rsid w:val="00722CD3"/>
    <w:rsid w:val="00723547"/>
    <w:rsid w:val="00723DC6"/>
    <w:rsid w:val="00727A0E"/>
    <w:rsid w:val="007336E9"/>
    <w:rsid w:val="00733A32"/>
    <w:rsid w:val="00736354"/>
    <w:rsid w:val="00747264"/>
    <w:rsid w:val="00752E3F"/>
    <w:rsid w:val="0075429A"/>
    <w:rsid w:val="00756055"/>
    <w:rsid w:val="00762BF1"/>
    <w:rsid w:val="00763558"/>
    <w:rsid w:val="00763829"/>
    <w:rsid w:val="00772015"/>
    <w:rsid w:val="00775A96"/>
    <w:rsid w:val="00780A56"/>
    <w:rsid w:val="00781BA2"/>
    <w:rsid w:val="00785948"/>
    <w:rsid w:val="00790EAB"/>
    <w:rsid w:val="00790EE3"/>
    <w:rsid w:val="00790FE6"/>
    <w:rsid w:val="00791373"/>
    <w:rsid w:val="007916B3"/>
    <w:rsid w:val="007938DB"/>
    <w:rsid w:val="00795147"/>
    <w:rsid w:val="00797072"/>
    <w:rsid w:val="00797722"/>
    <w:rsid w:val="007A32FD"/>
    <w:rsid w:val="007A4E25"/>
    <w:rsid w:val="007A58EA"/>
    <w:rsid w:val="007A71EC"/>
    <w:rsid w:val="007A7284"/>
    <w:rsid w:val="007B3724"/>
    <w:rsid w:val="007B5416"/>
    <w:rsid w:val="007C2934"/>
    <w:rsid w:val="007C797F"/>
    <w:rsid w:val="007D032E"/>
    <w:rsid w:val="007E0951"/>
    <w:rsid w:val="007E14C5"/>
    <w:rsid w:val="007E75DE"/>
    <w:rsid w:val="007E7CDB"/>
    <w:rsid w:val="007F059B"/>
    <w:rsid w:val="007F3409"/>
    <w:rsid w:val="007F5D0F"/>
    <w:rsid w:val="007F747B"/>
    <w:rsid w:val="007F74FC"/>
    <w:rsid w:val="00806DB5"/>
    <w:rsid w:val="008105CC"/>
    <w:rsid w:val="008237D2"/>
    <w:rsid w:val="008305A4"/>
    <w:rsid w:val="00837795"/>
    <w:rsid w:val="008475A8"/>
    <w:rsid w:val="0085675E"/>
    <w:rsid w:val="00871E97"/>
    <w:rsid w:val="00872110"/>
    <w:rsid w:val="00874189"/>
    <w:rsid w:val="00874788"/>
    <w:rsid w:val="00874DEC"/>
    <w:rsid w:val="00881102"/>
    <w:rsid w:val="00883BCD"/>
    <w:rsid w:val="0088518B"/>
    <w:rsid w:val="008909A1"/>
    <w:rsid w:val="00896813"/>
    <w:rsid w:val="00897D93"/>
    <w:rsid w:val="008A0DFA"/>
    <w:rsid w:val="008A2AFB"/>
    <w:rsid w:val="008A5D71"/>
    <w:rsid w:val="008B1C98"/>
    <w:rsid w:val="008B5BF7"/>
    <w:rsid w:val="008B68C8"/>
    <w:rsid w:val="008B794F"/>
    <w:rsid w:val="008C114F"/>
    <w:rsid w:val="008C16C2"/>
    <w:rsid w:val="008C255D"/>
    <w:rsid w:val="008C4ECA"/>
    <w:rsid w:val="008D3E4C"/>
    <w:rsid w:val="008E3EBF"/>
    <w:rsid w:val="008E6EBE"/>
    <w:rsid w:val="008F0DB6"/>
    <w:rsid w:val="008F1B76"/>
    <w:rsid w:val="00901F8E"/>
    <w:rsid w:val="00904CEF"/>
    <w:rsid w:val="0090559B"/>
    <w:rsid w:val="009122EF"/>
    <w:rsid w:val="00912AD1"/>
    <w:rsid w:val="00916CB1"/>
    <w:rsid w:val="00920F11"/>
    <w:rsid w:val="00922467"/>
    <w:rsid w:val="009255A8"/>
    <w:rsid w:val="0093098F"/>
    <w:rsid w:val="00934A42"/>
    <w:rsid w:val="00937C0E"/>
    <w:rsid w:val="009423AA"/>
    <w:rsid w:val="009547B8"/>
    <w:rsid w:val="00960A40"/>
    <w:rsid w:val="00960CFD"/>
    <w:rsid w:val="009611EC"/>
    <w:rsid w:val="009812E5"/>
    <w:rsid w:val="00983707"/>
    <w:rsid w:val="00985FDF"/>
    <w:rsid w:val="0099200F"/>
    <w:rsid w:val="00992BCB"/>
    <w:rsid w:val="00997596"/>
    <w:rsid w:val="009A3F70"/>
    <w:rsid w:val="009A6CAF"/>
    <w:rsid w:val="009B0732"/>
    <w:rsid w:val="009B07B0"/>
    <w:rsid w:val="009B412D"/>
    <w:rsid w:val="009B4F31"/>
    <w:rsid w:val="009B54B3"/>
    <w:rsid w:val="009B55A4"/>
    <w:rsid w:val="009C0E75"/>
    <w:rsid w:val="009C121F"/>
    <w:rsid w:val="009D0803"/>
    <w:rsid w:val="009E57E2"/>
    <w:rsid w:val="009E7D34"/>
    <w:rsid w:val="009F0F4F"/>
    <w:rsid w:val="009F32F2"/>
    <w:rsid w:val="009F337D"/>
    <w:rsid w:val="00A03C05"/>
    <w:rsid w:val="00A04012"/>
    <w:rsid w:val="00A100F9"/>
    <w:rsid w:val="00A104F1"/>
    <w:rsid w:val="00A10DB7"/>
    <w:rsid w:val="00A1687C"/>
    <w:rsid w:val="00A209E7"/>
    <w:rsid w:val="00A23D61"/>
    <w:rsid w:val="00A23EFD"/>
    <w:rsid w:val="00A30486"/>
    <w:rsid w:val="00A304AE"/>
    <w:rsid w:val="00A30AC1"/>
    <w:rsid w:val="00A37BF7"/>
    <w:rsid w:val="00A442B6"/>
    <w:rsid w:val="00A506E7"/>
    <w:rsid w:val="00A50ABC"/>
    <w:rsid w:val="00A5205F"/>
    <w:rsid w:val="00A555BB"/>
    <w:rsid w:val="00A602ED"/>
    <w:rsid w:val="00A6173F"/>
    <w:rsid w:val="00A629D1"/>
    <w:rsid w:val="00A66AF4"/>
    <w:rsid w:val="00A67CB6"/>
    <w:rsid w:val="00A75F5D"/>
    <w:rsid w:val="00A803E9"/>
    <w:rsid w:val="00A80BF6"/>
    <w:rsid w:val="00A83BF5"/>
    <w:rsid w:val="00A848A4"/>
    <w:rsid w:val="00A850D0"/>
    <w:rsid w:val="00A907F4"/>
    <w:rsid w:val="00A915EB"/>
    <w:rsid w:val="00A92AF0"/>
    <w:rsid w:val="00AA4023"/>
    <w:rsid w:val="00AA6727"/>
    <w:rsid w:val="00AB409E"/>
    <w:rsid w:val="00AB4817"/>
    <w:rsid w:val="00AB655C"/>
    <w:rsid w:val="00AC2253"/>
    <w:rsid w:val="00AC72B0"/>
    <w:rsid w:val="00AD2837"/>
    <w:rsid w:val="00AD5627"/>
    <w:rsid w:val="00AD71B1"/>
    <w:rsid w:val="00AE4923"/>
    <w:rsid w:val="00AF231F"/>
    <w:rsid w:val="00AF42DE"/>
    <w:rsid w:val="00AF5B6D"/>
    <w:rsid w:val="00AF5F5D"/>
    <w:rsid w:val="00AF76D0"/>
    <w:rsid w:val="00B02D0C"/>
    <w:rsid w:val="00B04841"/>
    <w:rsid w:val="00B12783"/>
    <w:rsid w:val="00B156F0"/>
    <w:rsid w:val="00B264DD"/>
    <w:rsid w:val="00B33F00"/>
    <w:rsid w:val="00B35C1D"/>
    <w:rsid w:val="00B418CB"/>
    <w:rsid w:val="00B42F45"/>
    <w:rsid w:val="00B43D1C"/>
    <w:rsid w:val="00B44510"/>
    <w:rsid w:val="00B50E6D"/>
    <w:rsid w:val="00B51A48"/>
    <w:rsid w:val="00B559AC"/>
    <w:rsid w:val="00B57DF0"/>
    <w:rsid w:val="00B61A13"/>
    <w:rsid w:val="00B63DD1"/>
    <w:rsid w:val="00B67DE2"/>
    <w:rsid w:val="00B715AA"/>
    <w:rsid w:val="00B81B4F"/>
    <w:rsid w:val="00BA1736"/>
    <w:rsid w:val="00BA7BE5"/>
    <w:rsid w:val="00BB16E1"/>
    <w:rsid w:val="00BB2F67"/>
    <w:rsid w:val="00BB6884"/>
    <w:rsid w:val="00BC3190"/>
    <w:rsid w:val="00BC47D8"/>
    <w:rsid w:val="00BC6FFA"/>
    <w:rsid w:val="00BD0EE0"/>
    <w:rsid w:val="00BD13B0"/>
    <w:rsid w:val="00BD3093"/>
    <w:rsid w:val="00BD67C5"/>
    <w:rsid w:val="00BD7B5F"/>
    <w:rsid w:val="00BE047F"/>
    <w:rsid w:val="00BE481C"/>
    <w:rsid w:val="00BE54D7"/>
    <w:rsid w:val="00BE7E74"/>
    <w:rsid w:val="00BF0864"/>
    <w:rsid w:val="00BF334D"/>
    <w:rsid w:val="00BF60B5"/>
    <w:rsid w:val="00C112CC"/>
    <w:rsid w:val="00C12AAC"/>
    <w:rsid w:val="00C12C0E"/>
    <w:rsid w:val="00C13988"/>
    <w:rsid w:val="00C147A6"/>
    <w:rsid w:val="00C2371B"/>
    <w:rsid w:val="00C23BB1"/>
    <w:rsid w:val="00C31863"/>
    <w:rsid w:val="00C34FD7"/>
    <w:rsid w:val="00C37653"/>
    <w:rsid w:val="00C475D1"/>
    <w:rsid w:val="00C47A7D"/>
    <w:rsid w:val="00C560B3"/>
    <w:rsid w:val="00C575C8"/>
    <w:rsid w:val="00C60996"/>
    <w:rsid w:val="00C64A63"/>
    <w:rsid w:val="00C67973"/>
    <w:rsid w:val="00C7119C"/>
    <w:rsid w:val="00C751A0"/>
    <w:rsid w:val="00C75B00"/>
    <w:rsid w:val="00C7677D"/>
    <w:rsid w:val="00C912B8"/>
    <w:rsid w:val="00C96889"/>
    <w:rsid w:val="00CA2695"/>
    <w:rsid w:val="00CA5385"/>
    <w:rsid w:val="00CA68F5"/>
    <w:rsid w:val="00CB1060"/>
    <w:rsid w:val="00CB5D9C"/>
    <w:rsid w:val="00CC2EFC"/>
    <w:rsid w:val="00CC4041"/>
    <w:rsid w:val="00CC61EC"/>
    <w:rsid w:val="00CD02C7"/>
    <w:rsid w:val="00CD1620"/>
    <w:rsid w:val="00CD2E0A"/>
    <w:rsid w:val="00CD398D"/>
    <w:rsid w:val="00CD3DAE"/>
    <w:rsid w:val="00CE526E"/>
    <w:rsid w:val="00CE762D"/>
    <w:rsid w:val="00CF0808"/>
    <w:rsid w:val="00CF2604"/>
    <w:rsid w:val="00CF7F93"/>
    <w:rsid w:val="00D01EB7"/>
    <w:rsid w:val="00D03D87"/>
    <w:rsid w:val="00D06EAA"/>
    <w:rsid w:val="00D07D3C"/>
    <w:rsid w:val="00D14DFE"/>
    <w:rsid w:val="00D16F23"/>
    <w:rsid w:val="00D20C47"/>
    <w:rsid w:val="00D22101"/>
    <w:rsid w:val="00D31798"/>
    <w:rsid w:val="00D31AF6"/>
    <w:rsid w:val="00D31C9C"/>
    <w:rsid w:val="00D35B02"/>
    <w:rsid w:val="00D36BB7"/>
    <w:rsid w:val="00D37EA8"/>
    <w:rsid w:val="00D40ECB"/>
    <w:rsid w:val="00D50866"/>
    <w:rsid w:val="00D566E3"/>
    <w:rsid w:val="00D568E4"/>
    <w:rsid w:val="00D568EB"/>
    <w:rsid w:val="00D60C11"/>
    <w:rsid w:val="00D62754"/>
    <w:rsid w:val="00D62ACF"/>
    <w:rsid w:val="00D6479C"/>
    <w:rsid w:val="00D64C09"/>
    <w:rsid w:val="00D6589F"/>
    <w:rsid w:val="00D744E0"/>
    <w:rsid w:val="00D747BE"/>
    <w:rsid w:val="00D755FA"/>
    <w:rsid w:val="00D86E2F"/>
    <w:rsid w:val="00D927F1"/>
    <w:rsid w:val="00D92A2B"/>
    <w:rsid w:val="00D9420B"/>
    <w:rsid w:val="00DA423E"/>
    <w:rsid w:val="00DA4EBC"/>
    <w:rsid w:val="00DA743C"/>
    <w:rsid w:val="00DB2F3C"/>
    <w:rsid w:val="00DB6C01"/>
    <w:rsid w:val="00DB7C6A"/>
    <w:rsid w:val="00DC1F2B"/>
    <w:rsid w:val="00DC430E"/>
    <w:rsid w:val="00DC5779"/>
    <w:rsid w:val="00DC77C8"/>
    <w:rsid w:val="00DD07AC"/>
    <w:rsid w:val="00DD1084"/>
    <w:rsid w:val="00DE048A"/>
    <w:rsid w:val="00DE22A2"/>
    <w:rsid w:val="00DE3CB6"/>
    <w:rsid w:val="00DE4211"/>
    <w:rsid w:val="00DE777A"/>
    <w:rsid w:val="00DF01D2"/>
    <w:rsid w:val="00DF0A05"/>
    <w:rsid w:val="00DF25F2"/>
    <w:rsid w:val="00E027EB"/>
    <w:rsid w:val="00E02B8E"/>
    <w:rsid w:val="00E02C8E"/>
    <w:rsid w:val="00E10189"/>
    <w:rsid w:val="00E12846"/>
    <w:rsid w:val="00E13E1A"/>
    <w:rsid w:val="00E17879"/>
    <w:rsid w:val="00E20A8B"/>
    <w:rsid w:val="00E232AF"/>
    <w:rsid w:val="00E319C5"/>
    <w:rsid w:val="00E3337F"/>
    <w:rsid w:val="00E41083"/>
    <w:rsid w:val="00E4299B"/>
    <w:rsid w:val="00E43453"/>
    <w:rsid w:val="00E538F5"/>
    <w:rsid w:val="00E6631D"/>
    <w:rsid w:val="00E8087E"/>
    <w:rsid w:val="00E83DF6"/>
    <w:rsid w:val="00E84B76"/>
    <w:rsid w:val="00E878A6"/>
    <w:rsid w:val="00EA04DE"/>
    <w:rsid w:val="00EA26BD"/>
    <w:rsid w:val="00EA6D56"/>
    <w:rsid w:val="00EB1E31"/>
    <w:rsid w:val="00EB48FC"/>
    <w:rsid w:val="00EB4CF6"/>
    <w:rsid w:val="00EB7588"/>
    <w:rsid w:val="00EB7C05"/>
    <w:rsid w:val="00EC1912"/>
    <w:rsid w:val="00EC211A"/>
    <w:rsid w:val="00EC370A"/>
    <w:rsid w:val="00EC3839"/>
    <w:rsid w:val="00EC5B79"/>
    <w:rsid w:val="00ED5301"/>
    <w:rsid w:val="00ED74CB"/>
    <w:rsid w:val="00ED7FF5"/>
    <w:rsid w:val="00EE21E3"/>
    <w:rsid w:val="00EE2926"/>
    <w:rsid w:val="00EF2BC8"/>
    <w:rsid w:val="00EF3238"/>
    <w:rsid w:val="00EF4FB4"/>
    <w:rsid w:val="00EF564A"/>
    <w:rsid w:val="00EF5B35"/>
    <w:rsid w:val="00F059B3"/>
    <w:rsid w:val="00F12124"/>
    <w:rsid w:val="00F170F3"/>
    <w:rsid w:val="00F177FA"/>
    <w:rsid w:val="00F20449"/>
    <w:rsid w:val="00F2071D"/>
    <w:rsid w:val="00F220D0"/>
    <w:rsid w:val="00F3152C"/>
    <w:rsid w:val="00F32533"/>
    <w:rsid w:val="00F339E9"/>
    <w:rsid w:val="00F352CD"/>
    <w:rsid w:val="00F35669"/>
    <w:rsid w:val="00F370EE"/>
    <w:rsid w:val="00F374BA"/>
    <w:rsid w:val="00F517B9"/>
    <w:rsid w:val="00F60C88"/>
    <w:rsid w:val="00F61C89"/>
    <w:rsid w:val="00F6338B"/>
    <w:rsid w:val="00F70E10"/>
    <w:rsid w:val="00F76FF5"/>
    <w:rsid w:val="00F84BA9"/>
    <w:rsid w:val="00F87708"/>
    <w:rsid w:val="00F90BB0"/>
    <w:rsid w:val="00F921E1"/>
    <w:rsid w:val="00F9303D"/>
    <w:rsid w:val="00FA08E5"/>
    <w:rsid w:val="00FA2691"/>
    <w:rsid w:val="00FA6344"/>
    <w:rsid w:val="00FB3A77"/>
    <w:rsid w:val="00FB6D09"/>
    <w:rsid w:val="00FB7E94"/>
    <w:rsid w:val="00FC6D25"/>
    <w:rsid w:val="00FC736E"/>
    <w:rsid w:val="00FD299B"/>
    <w:rsid w:val="00FD7254"/>
    <w:rsid w:val="00FE042D"/>
    <w:rsid w:val="00FE10FE"/>
    <w:rsid w:val="00FE2A52"/>
    <w:rsid w:val="00FE2A8F"/>
    <w:rsid w:val="00FE4A2A"/>
    <w:rsid w:val="00FE5026"/>
    <w:rsid w:val="00FE758C"/>
    <w:rsid w:val="00FF3B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00FB0"/>
  <w15:docId w15:val="{59569219-2EFE-4055-8B71-9BCD9A30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CA"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A38"/>
    <w:pPr>
      <w:ind w:firstLine="567"/>
    </w:pPr>
  </w:style>
  <w:style w:type="paragraph" w:styleId="Heading1">
    <w:name w:val="heading 1"/>
    <w:basedOn w:val="Normal"/>
    <w:next w:val="Normal"/>
    <w:link w:val="Heading1Char"/>
    <w:uiPriority w:val="9"/>
    <w:qFormat/>
    <w:rsid w:val="00213A38"/>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13A38"/>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13A38"/>
    <w:pPr>
      <w:keepNext/>
      <w:keepLines/>
      <w:ind w:firstLine="0"/>
      <w:outlineLvl w:val="2"/>
    </w:pPr>
    <w:rPr>
      <w:rFonts w:eastAsiaTheme="majorEastAsia" w:cstheme="majorBidi"/>
      <w:b/>
      <w:i/>
      <w:iCs/>
    </w:rPr>
  </w:style>
  <w:style w:type="paragraph" w:styleId="Heading4">
    <w:name w:val="heading 4"/>
    <w:basedOn w:val="Heading3"/>
    <w:next w:val="Normal"/>
    <w:link w:val="Heading4Char"/>
    <w:uiPriority w:val="9"/>
    <w:unhideWhenUsed/>
    <w:qFormat/>
    <w:rsid w:val="00213A38"/>
    <w:pPr>
      <w:ind w:firstLine="567"/>
      <w:outlineLvl w:val="3"/>
    </w:pPr>
    <w:rPr>
      <w:i w:val="0"/>
      <w:iCs w:val="0"/>
    </w:rPr>
  </w:style>
  <w:style w:type="paragraph" w:styleId="Heading5">
    <w:name w:val="heading 5"/>
    <w:basedOn w:val="Heading4"/>
    <w:next w:val="Normal"/>
    <w:link w:val="Heading5Char"/>
    <w:uiPriority w:val="9"/>
    <w:semiHidden/>
    <w:unhideWhenUsed/>
    <w:qFormat/>
    <w:rsid w:val="00213A38"/>
    <w:pPr>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A38"/>
    <w:rPr>
      <w:rFonts w:eastAsiaTheme="majorEastAsia" w:cstheme="majorBidi"/>
      <w:b/>
      <w:szCs w:val="32"/>
    </w:rPr>
  </w:style>
  <w:style w:type="character" w:customStyle="1" w:styleId="Heading2Char">
    <w:name w:val="Heading 2 Char"/>
    <w:basedOn w:val="DefaultParagraphFont"/>
    <w:link w:val="Heading2"/>
    <w:uiPriority w:val="9"/>
    <w:rsid w:val="00213A38"/>
    <w:rPr>
      <w:rFonts w:eastAsiaTheme="majorEastAsia" w:cstheme="majorBidi"/>
      <w:b/>
      <w:szCs w:val="26"/>
    </w:rPr>
  </w:style>
  <w:style w:type="character" w:customStyle="1" w:styleId="Heading3Char">
    <w:name w:val="Heading 3 Char"/>
    <w:basedOn w:val="DefaultParagraphFont"/>
    <w:link w:val="Heading3"/>
    <w:uiPriority w:val="9"/>
    <w:rsid w:val="00213A38"/>
    <w:rPr>
      <w:rFonts w:eastAsiaTheme="majorEastAsia" w:cstheme="majorBidi"/>
      <w:b/>
      <w:i/>
      <w:iCs/>
    </w:rPr>
  </w:style>
  <w:style w:type="character" w:customStyle="1" w:styleId="Heading4Char">
    <w:name w:val="Heading 4 Char"/>
    <w:basedOn w:val="DefaultParagraphFont"/>
    <w:link w:val="Heading4"/>
    <w:uiPriority w:val="9"/>
    <w:rsid w:val="00213A38"/>
    <w:rPr>
      <w:rFonts w:eastAsiaTheme="majorEastAsia" w:cstheme="majorBidi"/>
      <w:b/>
    </w:rPr>
  </w:style>
  <w:style w:type="character" w:customStyle="1" w:styleId="Heading5Char">
    <w:name w:val="Heading 5 Char"/>
    <w:basedOn w:val="DefaultParagraphFont"/>
    <w:link w:val="Heading5"/>
    <w:uiPriority w:val="9"/>
    <w:semiHidden/>
    <w:rsid w:val="00213A38"/>
    <w:rPr>
      <w:rFonts w:eastAsiaTheme="majorEastAsia" w:cstheme="majorBidi"/>
      <w:b/>
      <w:i/>
      <w:iCs/>
    </w:rPr>
  </w:style>
  <w:style w:type="paragraph" w:styleId="Title">
    <w:name w:val="Title"/>
    <w:basedOn w:val="Normal"/>
    <w:next w:val="Normal"/>
    <w:link w:val="TitleChar"/>
    <w:uiPriority w:val="10"/>
    <w:qFormat/>
    <w:rsid w:val="00213A38"/>
    <w:pPr>
      <w:ind w:firstLine="0"/>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213A38"/>
    <w:rPr>
      <w:rFonts w:eastAsiaTheme="majorEastAsia" w:cstheme="majorBidi"/>
      <w:b/>
      <w:spacing w:val="-10"/>
      <w:kern w:val="28"/>
      <w:sz w:val="32"/>
      <w:szCs w:val="56"/>
    </w:rPr>
  </w:style>
  <w:style w:type="paragraph" w:styleId="ListParagraph">
    <w:name w:val="List Paragraph"/>
    <w:basedOn w:val="Normal"/>
    <w:uiPriority w:val="34"/>
    <w:qFormat/>
    <w:rsid w:val="00213A38"/>
    <w:pPr>
      <w:ind w:left="720"/>
      <w:contextualSpacing/>
    </w:pPr>
  </w:style>
  <w:style w:type="character" w:styleId="Hyperlink">
    <w:name w:val="Hyperlink"/>
    <w:basedOn w:val="DefaultParagraphFont"/>
    <w:uiPriority w:val="99"/>
    <w:unhideWhenUsed/>
    <w:rsid w:val="00213A38"/>
    <w:rPr>
      <w:color w:val="0563C1" w:themeColor="hyperlink"/>
      <w:u w:val="single"/>
    </w:rPr>
  </w:style>
  <w:style w:type="paragraph" w:customStyle="1" w:styleId="NormalSectionStart">
    <w:name w:val="Normal Section Start"/>
    <w:basedOn w:val="Normal"/>
    <w:next w:val="Normal"/>
    <w:rsid w:val="00572FE0"/>
    <w:pPr>
      <w:spacing w:line="240" w:lineRule="auto"/>
      <w:ind w:firstLine="0"/>
      <w:jc w:val="both"/>
    </w:pPr>
    <w:rPr>
      <w:rFonts w:eastAsia="Times New Roman"/>
      <w:sz w:val="20"/>
      <w:szCs w:val="20"/>
      <w:lang w:val="en-US"/>
    </w:rPr>
  </w:style>
  <w:style w:type="paragraph" w:styleId="FootnoteText">
    <w:name w:val="footnote text"/>
    <w:basedOn w:val="Normal"/>
    <w:link w:val="FootnoteTextChar"/>
    <w:semiHidden/>
    <w:rsid w:val="00572FE0"/>
    <w:pPr>
      <w:spacing w:line="240" w:lineRule="auto"/>
      <w:ind w:firstLine="181"/>
      <w:jc w:val="both"/>
    </w:pPr>
    <w:rPr>
      <w:rFonts w:eastAsia="Times"/>
      <w:sz w:val="18"/>
      <w:szCs w:val="20"/>
      <w:lang w:val="en-US"/>
    </w:rPr>
  </w:style>
  <w:style w:type="character" w:customStyle="1" w:styleId="FootnoteTextChar">
    <w:name w:val="Footnote Text Char"/>
    <w:basedOn w:val="DefaultParagraphFont"/>
    <w:link w:val="FootnoteText"/>
    <w:semiHidden/>
    <w:rsid w:val="00572FE0"/>
    <w:rPr>
      <w:rFonts w:eastAsia="Times"/>
      <w:sz w:val="18"/>
      <w:szCs w:val="20"/>
      <w:lang w:val="en-US"/>
    </w:rPr>
  </w:style>
  <w:style w:type="character" w:styleId="FootnoteReference">
    <w:name w:val="footnote reference"/>
    <w:semiHidden/>
    <w:rsid w:val="00572FE0"/>
    <w:rPr>
      <w:vertAlign w:val="superscript"/>
    </w:rPr>
  </w:style>
  <w:style w:type="paragraph" w:customStyle="1" w:styleId="Reference">
    <w:name w:val="Reference"/>
    <w:basedOn w:val="Normal"/>
    <w:rsid w:val="00572FE0"/>
    <w:pPr>
      <w:spacing w:line="240" w:lineRule="auto"/>
      <w:ind w:left="181" w:hanging="181"/>
      <w:jc w:val="both"/>
    </w:pPr>
    <w:rPr>
      <w:rFonts w:eastAsia="Times New Roman"/>
      <w:sz w:val="20"/>
      <w:szCs w:val="20"/>
      <w:lang w:val="en-US"/>
    </w:rPr>
  </w:style>
  <w:style w:type="character" w:styleId="CommentReference">
    <w:name w:val="annotation reference"/>
    <w:basedOn w:val="DefaultParagraphFont"/>
    <w:uiPriority w:val="99"/>
    <w:semiHidden/>
    <w:unhideWhenUsed/>
    <w:rsid w:val="00572FE0"/>
    <w:rPr>
      <w:sz w:val="16"/>
      <w:szCs w:val="16"/>
    </w:rPr>
  </w:style>
  <w:style w:type="paragraph" w:styleId="CommentText">
    <w:name w:val="annotation text"/>
    <w:basedOn w:val="Normal"/>
    <w:link w:val="CommentTextChar"/>
    <w:uiPriority w:val="99"/>
    <w:unhideWhenUsed/>
    <w:rsid w:val="00572FE0"/>
    <w:pPr>
      <w:spacing w:line="240" w:lineRule="auto"/>
      <w:ind w:firstLine="0"/>
    </w:pPr>
    <w:rPr>
      <w:sz w:val="20"/>
      <w:szCs w:val="20"/>
    </w:rPr>
  </w:style>
  <w:style w:type="character" w:customStyle="1" w:styleId="CommentTextChar">
    <w:name w:val="Comment Text Char"/>
    <w:basedOn w:val="DefaultParagraphFont"/>
    <w:link w:val="CommentText"/>
    <w:uiPriority w:val="99"/>
    <w:rsid w:val="00572FE0"/>
    <w:rPr>
      <w:sz w:val="20"/>
      <w:szCs w:val="20"/>
    </w:rPr>
  </w:style>
  <w:style w:type="paragraph" w:styleId="CommentSubject">
    <w:name w:val="annotation subject"/>
    <w:basedOn w:val="CommentText"/>
    <w:next w:val="CommentText"/>
    <w:link w:val="CommentSubjectChar"/>
    <w:uiPriority w:val="99"/>
    <w:semiHidden/>
    <w:unhideWhenUsed/>
    <w:rsid w:val="00364F3F"/>
    <w:pPr>
      <w:ind w:firstLine="567"/>
    </w:pPr>
    <w:rPr>
      <w:b/>
      <w:bCs/>
    </w:rPr>
  </w:style>
  <w:style w:type="character" w:customStyle="1" w:styleId="CommentSubjectChar">
    <w:name w:val="Comment Subject Char"/>
    <w:basedOn w:val="CommentTextChar"/>
    <w:link w:val="CommentSubject"/>
    <w:uiPriority w:val="99"/>
    <w:semiHidden/>
    <w:rsid w:val="00364F3F"/>
    <w:rPr>
      <w:b/>
      <w:bCs/>
      <w:sz w:val="20"/>
      <w:szCs w:val="20"/>
    </w:rPr>
  </w:style>
  <w:style w:type="paragraph" w:styleId="Header">
    <w:name w:val="header"/>
    <w:basedOn w:val="Normal"/>
    <w:link w:val="HeaderChar"/>
    <w:uiPriority w:val="99"/>
    <w:unhideWhenUsed/>
    <w:rsid w:val="00AA4023"/>
    <w:pPr>
      <w:tabs>
        <w:tab w:val="center" w:pos="4680"/>
        <w:tab w:val="right" w:pos="9360"/>
      </w:tabs>
      <w:spacing w:line="240" w:lineRule="auto"/>
    </w:pPr>
  </w:style>
  <w:style w:type="character" w:customStyle="1" w:styleId="HeaderChar">
    <w:name w:val="Header Char"/>
    <w:basedOn w:val="DefaultParagraphFont"/>
    <w:link w:val="Header"/>
    <w:uiPriority w:val="99"/>
    <w:rsid w:val="00AA4023"/>
  </w:style>
  <w:style w:type="paragraph" w:styleId="Footer">
    <w:name w:val="footer"/>
    <w:basedOn w:val="Normal"/>
    <w:link w:val="FooterChar"/>
    <w:uiPriority w:val="99"/>
    <w:unhideWhenUsed/>
    <w:rsid w:val="00AA4023"/>
    <w:pPr>
      <w:tabs>
        <w:tab w:val="center" w:pos="4680"/>
        <w:tab w:val="right" w:pos="9360"/>
      </w:tabs>
      <w:spacing w:line="240" w:lineRule="auto"/>
    </w:pPr>
  </w:style>
  <w:style w:type="character" w:customStyle="1" w:styleId="FooterChar">
    <w:name w:val="Footer Char"/>
    <w:basedOn w:val="DefaultParagraphFont"/>
    <w:link w:val="Footer"/>
    <w:uiPriority w:val="99"/>
    <w:rsid w:val="00AA4023"/>
  </w:style>
  <w:style w:type="character" w:styleId="UnresolvedMention">
    <w:name w:val="Unresolved Mention"/>
    <w:basedOn w:val="DefaultParagraphFont"/>
    <w:uiPriority w:val="99"/>
    <w:semiHidden/>
    <w:unhideWhenUsed/>
    <w:rsid w:val="002707A7"/>
    <w:rPr>
      <w:color w:val="605E5C"/>
      <w:shd w:val="clear" w:color="auto" w:fill="E1DFDD"/>
    </w:rPr>
  </w:style>
  <w:style w:type="table" w:styleId="TableGrid">
    <w:name w:val="Table Grid"/>
    <w:basedOn w:val="TableNormal"/>
    <w:uiPriority w:val="39"/>
    <w:rsid w:val="00044F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5A08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5A0821"/>
    <w:rPr>
      <w:rFonts w:ascii="Courier New" w:eastAsia="Times New Roman" w:hAnsi="Courier New" w:cs="Courier New"/>
      <w:sz w:val="20"/>
      <w:szCs w:val="20"/>
      <w:lang w:eastAsia="en-CA"/>
    </w:rPr>
  </w:style>
  <w:style w:type="character" w:styleId="HTMLCode">
    <w:name w:val="HTML Code"/>
    <w:basedOn w:val="DefaultParagraphFont"/>
    <w:uiPriority w:val="99"/>
    <w:semiHidden/>
    <w:unhideWhenUsed/>
    <w:rsid w:val="005A0821"/>
    <w:rPr>
      <w:rFonts w:ascii="Courier New" w:eastAsia="Times New Roman" w:hAnsi="Courier New" w:cs="Courier New"/>
      <w:sz w:val="20"/>
      <w:szCs w:val="20"/>
    </w:rPr>
  </w:style>
  <w:style w:type="character" w:customStyle="1" w:styleId="lrzxr">
    <w:name w:val="lrzxr"/>
    <w:basedOn w:val="DefaultParagraphFont"/>
    <w:rsid w:val="008A5D71"/>
  </w:style>
  <w:style w:type="paragraph" w:styleId="Revision">
    <w:name w:val="Revision"/>
    <w:hidden/>
    <w:uiPriority w:val="99"/>
    <w:semiHidden/>
    <w:rsid w:val="00A907F4"/>
    <w:pPr>
      <w:spacing w:line="240" w:lineRule="auto"/>
    </w:pPr>
  </w:style>
  <w:style w:type="paragraph" w:styleId="Bibliography">
    <w:name w:val="Bibliography"/>
    <w:basedOn w:val="Normal"/>
    <w:next w:val="Normal"/>
    <w:uiPriority w:val="37"/>
    <w:unhideWhenUsed/>
    <w:rsid w:val="005D51F7"/>
    <w:pPr>
      <w:tabs>
        <w:tab w:val="left" w:pos="384"/>
      </w:tabs>
      <w:ind w:left="384" w:hanging="384"/>
    </w:pPr>
  </w:style>
  <w:style w:type="character" w:styleId="FollowedHyperlink">
    <w:name w:val="FollowedHyperlink"/>
    <w:basedOn w:val="DefaultParagraphFont"/>
    <w:uiPriority w:val="99"/>
    <w:semiHidden/>
    <w:unhideWhenUsed/>
    <w:rsid w:val="00D755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739683">
      <w:bodyDiv w:val="1"/>
      <w:marLeft w:val="0"/>
      <w:marRight w:val="0"/>
      <w:marTop w:val="0"/>
      <w:marBottom w:val="0"/>
      <w:divBdr>
        <w:top w:val="none" w:sz="0" w:space="0" w:color="auto"/>
        <w:left w:val="none" w:sz="0" w:space="0" w:color="auto"/>
        <w:bottom w:val="none" w:sz="0" w:space="0" w:color="auto"/>
        <w:right w:val="none" w:sz="0" w:space="0" w:color="auto"/>
      </w:divBdr>
    </w:div>
    <w:div w:id="135607958">
      <w:bodyDiv w:val="1"/>
      <w:marLeft w:val="0"/>
      <w:marRight w:val="0"/>
      <w:marTop w:val="0"/>
      <w:marBottom w:val="0"/>
      <w:divBdr>
        <w:top w:val="none" w:sz="0" w:space="0" w:color="auto"/>
        <w:left w:val="none" w:sz="0" w:space="0" w:color="auto"/>
        <w:bottom w:val="none" w:sz="0" w:space="0" w:color="auto"/>
        <w:right w:val="none" w:sz="0" w:space="0" w:color="auto"/>
      </w:divBdr>
    </w:div>
    <w:div w:id="183442722">
      <w:bodyDiv w:val="1"/>
      <w:marLeft w:val="0"/>
      <w:marRight w:val="0"/>
      <w:marTop w:val="0"/>
      <w:marBottom w:val="0"/>
      <w:divBdr>
        <w:top w:val="none" w:sz="0" w:space="0" w:color="auto"/>
        <w:left w:val="none" w:sz="0" w:space="0" w:color="auto"/>
        <w:bottom w:val="none" w:sz="0" w:space="0" w:color="auto"/>
        <w:right w:val="none" w:sz="0" w:space="0" w:color="auto"/>
      </w:divBdr>
    </w:div>
    <w:div w:id="372928750">
      <w:bodyDiv w:val="1"/>
      <w:marLeft w:val="0"/>
      <w:marRight w:val="0"/>
      <w:marTop w:val="0"/>
      <w:marBottom w:val="0"/>
      <w:divBdr>
        <w:top w:val="none" w:sz="0" w:space="0" w:color="auto"/>
        <w:left w:val="none" w:sz="0" w:space="0" w:color="auto"/>
        <w:bottom w:val="none" w:sz="0" w:space="0" w:color="auto"/>
        <w:right w:val="none" w:sz="0" w:space="0" w:color="auto"/>
      </w:divBdr>
    </w:div>
    <w:div w:id="451826367">
      <w:bodyDiv w:val="1"/>
      <w:marLeft w:val="0"/>
      <w:marRight w:val="0"/>
      <w:marTop w:val="0"/>
      <w:marBottom w:val="0"/>
      <w:divBdr>
        <w:top w:val="none" w:sz="0" w:space="0" w:color="auto"/>
        <w:left w:val="none" w:sz="0" w:space="0" w:color="auto"/>
        <w:bottom w:val="none" w:sz="0" w:space="0" w:color="auto"/>
        <w:right w:val="none" w:sz="0" w:space="0" w:color="auto"/>
      </w:divBdr>
    </w:div>
    <w:div w:id="468016541">
      <w:bodyDiv w:val="1"/>
      <w:marLeft w:val="0"/>
      <w:marRight w:val="0"/>
      <w:marTop w:val="0"/>
      <w:marBottom w:val="0"/>
      <w:divBdr>
        <w:top w:val="none" w:sz="0" w:space="0" w:color="auto"/>
        <w:left w:val="none" w:sz="0" w:space="0" w:color="auto"/>
        <w:bottom w:val="none" w:sz="0" w:space="0" w:color="auto"/>
        <w:right w:val="none" w:sz="0" w:space="0" w:color="auto"/>
      </w:divBdr>
    </w:div>
    <w:div w:id="477502836">
      <w:bodyDiv w:val="1"/>
      <w:marLeft w:val="0"/>
      <w:marRight w:val="0"/>
      <w:marTop w:val="0"/>
      <w:marBottom w:val="0"/>
      <w:divBdr>
        <w:top w:val="none" w:sz="0" w:space="0" w:color="auto"/>
        <w:left w:val="none" w:sz="0" w:space="0" w:color="auto"/>
        <w:bottom w:val="none" w:sz="0" w:space="0" w:color="auto"/>
        <w:right w:val="none" w:sz="0" w:space="0" w:color="auto"/>
      </w:divBdr>
    </w:div>
    <w:div w:id="641275502">
      <w:bodyDiv w:val="1"/>
      <w:marLeft w:val="0"/>
      <w:marRight w:val="0"/>
      <w:marTop w:val="0"/>
      <w:marBottom w:val="0"/>
      <w:divBdr>
        <w:top w:val="none" w:sz="0" w:space="0" w:color="auto"/>
        <w:left w:val="none" w:sz="0" w:space="0" w:color="auto"/>
        <w:bottom w:val="none" w:sz="0" w:space="0" w:color="auto"/>
        <w:right w:val="none" w:sz="0" w:space="0" w:color="auto"/>
      </w:divBdr>
    </w:div>
    <w:div w:id="743066768">
      <w:bodyDiv w:val="1"/>
      <w:marLeft w:val="0"/>
      <w:marRight w:val="0"/>
      <w:marTop w:val="0"/>
      <w:marBottom w:val="0"/>
      <w:divBdr>
        <w:top w:val="none" w:sz="0" w:space="0" w:color="auto"/>
        <w:left w:val="none" w:sz="0" w:space="0" w:color="auto"/>
        <w:bottom w:val="none" w:sz="0" w:space="0" w:color="auto"/>
        <w:right w:val="none" w:sz="0" w:space="0" w:color="auto"/>
      </w:divBdr>
    </w:div>
    <w:div w:id="765073208">
      <w:bodyDiv w:val="1"/>
      <w:marLeft w:val="0"/>
      <w:marRight w:val="0"/>
      <w:marTop w:val="0"/>
      <w:marBottom w:val="0"/>
      <w:divBdr>
        <w:top w:val="none" w:sz="0" w:space="0" w:color="auto"/>
        <w:left w:val="none" w:sz="0" w:space="0" w:color="auto"/>
        <w:bottom w:val="none" w:sz="0" w:space="0" w:color="auto"/>
        <w:right w:val="none" w:sz="0" w:space="0" w:color="auto"/>
      </w:divBdr>
    </w:div>
    <w:div w:id="797258015">
      <w:bodyDiv w:val="1"/>
      <w:marLeft w:val="0"/>
      <w:marRight w:val="0"/>
      <w:marTop w:val="0"/>
      <w:marBottom w:val="0"/>
      <w:divBdr>
        <w:top w:val="none" w:sz="0" w:space="0" w:color="auto"/>
        <w:left w:val="none" w:sz="0" w:space="0" w:color="auto"/>
        <w:bottom w:val="none" w:sz="0" w:space="0" w:color="auto"/>
        <w:right w:val="none" w:sz="0" w:space="0" w:color="auto"/>
      </w:divBdr>
    </w:div>
    <w:div w:id="886724627">
      <w:bodyDiv w:val="1"/>
      <w:marLeft w:val="0"/>
      <w:marRight w:val="0"/>
      <w:marTop w:val="0"/>
      <w:marBottom w:val="0"/>
      <w:divBdr>
        <w:top w:val="none" w:sz="0" w:space="0" w:color="auto"/>
        <w:left w:val="none" w:sz="0" w:space="0" w:color="auto"/>
        <w:bottom w:val="none" w:sz="0" w:space="0" w:color="auto"/>
        <w:right w:val="none" w:sz="0" w:space="0" w:color="auto"/>
      </w:divBdr>
    </w:div>
    <w:div w:id="1022438875">
      <w:bodyDiv w:val="1"/>
      <w:marLeft w:val="0"/>
      <w:marRight w:val="0"/>
      <w:marTop w:val="0"/>
      <w:marBottom w:val="0"/>
      <w:divBdr>
        <w:top w:val="none" w:sz="0" w:space="0" w:color="auto"/>
        <w:left w:val="none" w:sz="0" w:space="0" w:color="auto"/>
        <w:bottom w:val="none" w:sz="0" w:space="0" w:color="auto"/>
        <w:right w:val="none" w:sz="0" w:space="0" w:color="auto"/>
      </w:divBdr>
    </w:div>
    <w:div w:id="1032681602">
      <w:bodyDiv w:val="1"/>
      <w:marLeft w:val="0"/>
      <w:marRight w:val="0"/>
      <w:marTop w:val="0"/>
      <w:marBottom w:val="0"/>
      <w:divBdr>
        <w:top w:val="none" w:sz="0" w:space="0" w:color="auto"/>
        <w:left w:val="none" w:sz="0" w:space="0" w:color="auto"/>
        <w:bottom w:val="none" w:sz="0" w:space="0" w:color="auto"/>
        <w:right w:val="none" w:sz="0" w:space="0" w:color="auto"/>
      </w:divBdr>
    </w:div>
    <w:div w:id="1086878855">
      <w:bodyDiv w:val="1"/>
      <w:marLeft w:val="0"/>
      <w:marRight w:val="0"/>
      <w:marTop w:val="0"/>
      <w:marBottom w:val="0"/>
      <w:divBdr>
        <w:top w:val="none" w:sz="0" w:space="0" w:color="auto"/>
        <w:left w:val="none" w:sz="0" w:space="0" w:color="auto"/>
        <w:bottom w:val="none" w:sz="0" w:space="0" w:color="auto"/>
        <w:right w:val="none" w:sz="0" w:space="0" w:color="auto"/>
      </w:divBdr>
    </w:div>
    <w:div w:id="1089305031">
      <w:bodyDiv w:val="1"/>
      <w:marLeft w:val="0"/>
      <w:marRight w:val="0"/>
      <w:marTop w:val="0"/>
      <w:marBottom w:val="0"/>
      <w:divBdr>
        <w:top w:val="none" w:sz="0" w:space="0" w:color="auto"/>
        <w:left w:val="none" w:sz="0" w:space="0" w:color="auto"/>
        <w:bottom w:val="none" w:sz="0" w:space="0" w:color="auto"/>
        <w:right w:val="none" w:sz="0" w:space="0" w:color="auto"/>
      </w:divBdr>
    </w:div>
    <w:div w:id="1091123753">
      <w:bodyDiv w:val="1"/>
      <w:marLeft w:val="0"/>
      <w:marRight w:val="0"/>
      <w:marTop w:val="0"/>
      <w:marBottom w:val="0"/>
      <w:divBdr>
        <w:top w:val="none" w:sz="0" w:space="0" w:color="auto"/>
        <w:left w:val="none" w:sz="0" w:space="0" w:color="auto"/>
        <w:bottom w:val="none" w:sz="0" w:space="0" w:color="auto"/>
        <w:right w:val="none" w:sz="0" w:space="0" w:color="auto"/>
      </w:divBdr>
    </w:div>
    <w:div w:id="1123843260">
      <w:bodyDiv w:val="1"/>
      <w:marLeft w:val="0"/>
      <w:marRight w:val="0"/>
      <w:marTop w:val="0"/>
      <w:marBottom w:val="0"/>
      <w:divBdr>
        <w:top w:val="none" w:sz="0" w:space="0" w:color="auto"/>
        <w:left w:val="none" w:sz="0" w:space="0" w:color="auto"/>
        <w:bottom w:val="none" w:sz="0" w:space="0" w:color="auto"/>
        <w:right w:val="none" w:sz="0" w:space="0" w:color="auto"/>
      </w:divBdr>
    </w:div>
    <w:div w:id="1127235835">
      <w:bodyDiv w:val="1"/>
      <w:marLeft w:val="0"/>
      <w:marRight w:val="0"/>
      <w:marTop w:val="0"/>
      <w:marBottom w:val="0"/>
      <w:divBdr>
        <w:top w:val="none" w:sz="0" w:space="0" w:color="auto"/>
        <w:left w:val="none" w:sz="0" w:space="0" w:color="auto"/>
        <w:bottom w:val="none" w:sz="0" w:space="0" w:color="auto"/>
        <w:right w:val="none" w:sz="0" w:space="0" w:color="auto"/>
      </w:divBdr>
    </w:div>
    <w:div w:id="1197546030">
      <w:bodyDiv w:val="1"/>
      <w:marLeft w:val="0"/>
      <w:marRight w:val="0"/>
      <w:marTop w:val="0"/>
      <w:marBottom w:val="0"/>
      <w:divBdr>
        <w:top w:val="none" w:sz="0" w:space="0" w:color="auto"/>
        <w:left w:val="none" w:sz="0" w:space="0" w:color="auto"/>
        <w:bottom w:val="none" w:sz="0" w:space="0" w:color="auto"/>
        <w:right w:val="none" w:sz="0" w:space="0" w:color="auto"/>
      </w:divBdr>
    </w:div>
    <w:div w:id="1209880102">
      <w:bodyDiv w:val="1"/>
      <w:marLeft w:val="0"/>
      <w:marRight w:val="0"/>
      <w:marTop w:val="0"/>
      <w:marBottom w:val="0"/>
      <w:divBdr>
        <w:top w:val="none" w:sz="0" w:space="0" w:color="auto"/>
        <w:left w:val="none" w:sz="0" w:space="0" w:color="auto"/>
        <w:bottom w:val="none" w:sz="0" w:space="0" w:color="auto"/>
        <w:right w:val="none" w:sz="0" w:space="0" w:color="auto"/>
      </w:divBdr>
    </w:div>
    <w:div w:id="1286350635">
      <w:bodyDiv w:val="1"/>
      <w:marLeft w:val="0"/>
      <w:marRight w:val="0"/>
      <w:marTop w:val="0"/>
      <w:marBottom w:val="0"/>
      <w:divBdr>
        <w:top w:val="none" w:sz="0" w:space="0" w:color="auto"/>
        <w:left w:val="none" w:sz="0" w:space="0" w:color="auto"/>
        <w:bottom w:val="none" w:sz="0" w:space="0" w:color="auto"/>
        <w:right w:val="none" w:sz="0" w:space="0" w:color="auto"/>
      </w:divBdr>
    </w:div>
    <w:div w:id="1341152904">
      <w:bodyDiv w:val="1"/>
      <w:marLeft w:val="0"/>
      <w:marRight w:val="0"/>
      <w:marTop w:val="0"/>
      <w:marBottom w:val="0"/>
      <w:divBdr>
        <w:top w:val="none" w:sz="0" w:space="0" w:color="auto"/>
        <w:left w:val="none" w:sz="0" w:space="0" w:color="auto"/>
        <w:bottom w:val="none" w:sz="0" w:space="0" w:color="auto"/>
        <w:right w:val="none" w:sz="0" w:space="0" w:color="auto"/>
      </w:divBdr>
    </w:div>
    <w:div w:id="1365444168">
      <w:bodyDiv w:val="1"/>
      <w:marLeft w:val="0"/>
      <w:marRight w:val="0"/>
      <w:marTop w:val="0"/>
      <w:marBottom w:val="0"/>
      <w:divBdr>
        <w:top w:val="none" w:sz="0" w:space="0" w:color="auto"/>
        <w:left w:val="none" w:sz="0" w:space="0" w:color="auto"/>
        <w:bottom w:val="none" w:sz="0" w:space="0" w:color="auto"/>
        <w:right w:val="none" w:sz="0" w:space="0" w:color="auto"/>
      </w:divBdr>
    </w:div>
    <w:div w:id="1592615855">
      <w:bodyDiv w:val="1"/>
      <w:marLeft w:val="0"/>
      <w:marRight w:val="0"/>
      <w:marTop w:val="0"/>
      <w:marBottom w:val="0"/>
      <w:divBdr>
        <w:top w:val="none" w:sz="0" w:space="0" w:color="auto"/>
        <w:left w:val="none" w:sz="0" w:space="0" w:color="auto"/>
        <w:bottom w:val="none" w:sz="0" w:space="0" w:color="auto"/>
        <w:right w:val="none" w:sz="0" w:space="0" w:color="auto"/>
      </w:divBdr>
    </w:div>
    <w:div w:id="1606107660">
      <w:bodyDiv w:val="1"/>
      <w:marLeft w:val="0"/>
      <w:marRight w:val="0"/>
      <w:marTop w:val="0"/>
      <w:marBottom w:val="0"/>
      <w:divBdr>
        <w:top w:val="none" w:sz="0" w:space="0" w:color="auto"/>
        <w:left w:val="none" w:sz="0" w:space="0" w:color="auto"/>
        <w:bottom w:val="none" w:sz="0" w:space="0" w:color="auto"/>
        <w:right w:val="none" w:sz="0" w:space="0" w:color="auto"/>
      </w:divBdr>
    </w:div>
    <w:div w:id="1671760847">
      <w:bodyDiv w:val="1"/>
      <w:marLeft w:val="0"/>
      <w:marRight w:val="0"/>
      <w:marTop w:val="0"/>
      <w:marBottom w:val="0"/>
      <w:divBdr>
        <w:top w:val="none" w:sz="0" w:space="0" w:color="auto"/>
        <w:left w:val="none" w:sz="0" w:space="0" w:color="auto"/>
        <w:bottom w:val="none" w:sz="0" w:space="0" w:color="auto"/>
        <w:right w:val="none" w:sz="0" w:space="0" w:color="auto"/>
      </w:divBdr>
    </w:div>
    <w:div w:id="1711342653">
      <w:bodyDiv w:val="1"/>
      <w:marLeft w:val="0"/>
      <w:marRight w:val="0"/>
      <w:marTop w:val="0"/>
      <w:marBottom w:val="0"/>
      <w:divBdr>
        <w:top w:val="none" w:sz="0" w:space="0" w:color="auto"/>
        <w:left w:val="none" w:sz="0" w:space="0" w:color="auto"/>
        <w:bottom w:val="none" w:sz="0" w:space="0" w:color="auto"/>
        <w:right w:val="none" w:sz="0" w:space="0" w:color="auto"/>
      </w:divBdr>
    </w:div>
    <w:div w:id="1744795483">
      <w:bodyDiv w:val="1"/>
      <w:marLeft w:val="0"/>
      <w:marRight w:val="0"/>
      <w:marTop w:val="0"/>
      <w:marBottom w:val="0"/>
      <w:divBdr>
        <w:top w:val="none" w:sz="0" w:space="0" w:color="auto"/>
        <w:left w:val="none" w:sz="0" w:space="0" w:color="auto"/>
        <w:bottom w:val="none" w:sz="0" w:space="0" w:color="auto"/>
        <w:right w:val="none" w:sz="0" w:space="0" w:color="auto"/>
      </w:divBdr>
    </w:div>
    <w:div w:id="1770127451">
      <w:bodyDiv w:val="1"/>
      <w:marLeft w:val="0"/>
      <w:marRight w:val="0"/>
      <w:marTop w:val="0"/>
      <w:marBottom w:val="0"/>
      <w:divBdr>
        <w:top w:val="none" w:sz="0" w:space="0" w:color="auto"/>
        <w:left w:val="none" w:sz="0" w:space="0" w:color="auto"/>
        <w:bottom w:val="none" w:sz="0" w:space="0" w:color="auto"/>
        <w:right w:val="none" w:sz="0" w:space="0" w:color="auto"/>
      </w:divBdr>
    </w:div>
    <w:div w:id="1966765445">
      <w:bodyDiv w:val="1"/>
      <w:marLeft w:val="0"/>
      <w:marRight w:val="0"/>
      <w:marTop w:val="0"/>
      <w:marBottom w:val="0"/>
      <w:divBdr>
        <w:top w:val="none" w:sz="0" w:space="0" w:color="auto"/>
        <w:left w:val="none" w:sz="0" w:space="0" w:color="auto"/>
        <w:bottom w:val="none" w:sz="0" w:space="0" w:color="auto"/>
        <w:right w:val="none" w:sz="0" w:space="0" w:color="auto"/>
      </w:divBdr>
    </w:div>
    <w:div w:id="1993484648">
      <w:bodyDiv w:val="1"/>
      <w:marLeft w:val="0"/>
      <w:marRight w:val="0"/>
      <w:marTop w:val="0"/>
      <w:marBottom w:val="0"/>
      <w:divBdr>
        <w:top w:val="none" w:sz="0" w:space="0" w:color="auto"/>
        <w:left w:val="none" w:sz="0" w:space="0" w:color="auto"/>
        <w:bottom w:val="none" w:sz="0" w:space="0" w:color="auto"/>
        <w:right w:val="none" w:sz="0" w:space="0" w:color="auto"/>
      </w:divBdr>
    </w:div>
    <w:div w:id="2145812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hyperlink" Target="https://osf.io/9gsnq" TargetMode="External"/><Relationship Id="rId3" Type="http://schemas.openxmlformats.org/officeDocument/2006/relationships/styles" Target="styles.xml"/><Relationship Id="rId21" Type="http://schemas.openxmlformats.org/officeDocument/2006/relationships/hyperlink" Target="https://osf.io/hf6xj/"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yperlink" Target="https://osf.io/yq73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hyperlink" Target="https://jakewestfall.shinyapps.io/pang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hyperlink" Target="https://jakewestfall.shinyapps.io/pangea/" TargetMode="External"/><Relationship Id="rId32" Type="http://schemas.openxmlformats.org/officeDocument/2006/relationships/hyperlink" Target="https://osf.io/hf6xj/" TargetMode="Externa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hyperlink" Target="https://osf.io/9gsnq" TargetMode="External"/><Relationship Id="rId28" Type="http://schemas.openxmlformats.org/officeDocument/2006/relationships/hyperlink" Target="https://osf.io/2gx3z"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osf.io/2gx3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osf.io/yq73r/" TargetMode="External"/><Relationship Id="rId27" Type="http://schemas.openxmlformats.org/officeDocument/2006/relationships/hyperlink" Target="https://osf.io/y4hdt" TargetMode="External"/><Relationship Id="rId30" Type="http://schemas.openxmlformats.org/officeDocument/2006/relationships/hyperlink" Target="https://osf.io/y4hdt" TargetMode="External"/><Relationship Id="rId8" Type="http://schemas.openxmlformats.org/officeDocument/2006/relationships/hyperlink" Target="https://osf.io/hf6x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358B0-62D0-46D6-9569-8F235A9E6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16</Pages>
  <Words>33884</Words>
  <Characters>217199</Characters>
  <Application>Microsoft Office Word</Application>
  <DocSecurity>0</DocSecurity>
  <Lines>5171</Lines>
  <Paragraphs>3586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Baer</dc:creator>
  <cp:keywords/>
  <dc:description/>
  <cp:lastModifiedBy>Carolyn Baer</cp:lastModifiedBy>
  <cp:revision>5</cp:revision>
  <cp:lastPrinted>2025-10-08T19:10:00Z</cp:lastPrinted>
  <dcterms:created xsi:type="dcterms:W3CDTF">2026-02-09T17:50:00Z</dcterms:created>
  <dcterms:modified xsi:type="dcterms:W3CDTF">2026-02-10T23:13:00Z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id="F5h2NEmQ"/&gt;&lt;style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